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312" w:afterLines="100" w:line="360" w:lineRule="exact"/>
        <w:ind w:firstLine="0" w:firstLineChars="0"/>
        <w:jc w:val="center"/>
        <w:rPr>
          <w:rFonts w:hint="eastAsia" w:ascii="黑体" w:hAnsi="黑体" w:eastAsia="黑体" w:cs="黑体"/>
          <w:b w:val="0"/>
          <w:bCs/>
          <w:sz w:val="32"/>
          <w:szCs w:val="32"/>
        </w:rPr>
      </w:pPr>
      <w:r>
        <w:rPr>
          <w:rFonts w:hint="eastAsia" w:ascii="黑体" w:hAnsi="黑体" w:eastAsia="黑体" w:cs="黑体"/>
          <w:b w:val="0"/>
          <w:bCs/>
          <w:sz w:val="32"/>
          <w:szCs w:val="32"/>
        </w:rPr>
        <w:t>关于举办</w:t>
      </w:r>
      <w:r>
        <w:rPr>
          <w:rFonts w:hint="eastAsia" w:ascii="黑体" w:hAnsi="黑体" w:eastAsia="黑体" w:cs="黑体"/>
          <w:b w:val="0"/>
          <w:bCs/>
          <w:sz w:val="32"/>
          <w:szCs w:val="32"/>
          <w:lang w:val="en-US" w:eastAsia="zh-CN"/>
        </w:rPr>
        <w:t>“枫叶优体”杯辽宁省大学生 “互联网+儿童·生活·环境”创意项目大赛——辽宁理工学院校赛</w:t>
      </w:r>
      <w:r>
        <w:rPr>
          <w:rFonts w:hint="eastAsia" w:ascii="黑体" w:hAnsi="黑体" w:eastAsia="黑体" w:cs="黑体"/>
          <w:b w:val="0"/>
          <w:bCs/>
          <w:sz w:val="32"/>
          <w:szCs w:val="32"/>
        </w:rPr>
        <w:t>实施方案</w:t>
      </w:r>
    </w:p>
    <w:p>
      <w:pPr>
        <w:spacing w:line="560" w:lineRule="exact"/>
        <w:ind w:firstLine="640"/>
        <w:rPr>
          <w:rFonts w:ascii="黑体" w:hAnsi="黑体" w:eastAsia="黑体"/>
          <w:sz w:val="32"/>
          <w:szCs w:val="32"/>
        </w:rPr>
      </w:pPr>
      <w:r>
        <w:rPr>
          <w:rFonts w:hint="eastAsia" w:ascii="黑体" w:hAnsi="黑体" w:eastAsia="黑体"/>
          <w:sz w:val="32"/>
          <w:szCs w:val="32"/>
        </w:rPr>
        <w:t>一、竞赛规程</w:t>
      </w:r>
    </w:p>
    <w:p>
      <w:pPr>
        <w:spacing w:line="560" w:lineRule="exact"/>
        <w:ind w:firstLine="643"/>
        <w:rPr>
          <w:rFonts w:ascii="仿宋" w:hAnsi="仿宋" w:eastAsia="仿宋"/>
          <w:b/>
          <w:sz w:val="32"/>
          <w:szCs w:val="32"/>
        </w:rPr>
      </w:pPr>
      <w:r>
        <w:rPr>
          <w:rFonts w:hint="eastAsia" w:ascii="仿宋" w:hAnsi="仿宋" w:eastAsia="仿宋"/>
          <w:b/>
          <w:sz w:val="32"/>
          <w:szCs w:val="32"/>
        </w:rPr>
        <w:t>（一）竞赛名称</w:t>
      </w:r>
    </w:p>
    <w:p>
      <w:pPr>
        <w:spacing w:line="560" w:lineRule="exact"/>
        <w:ind w:firstLine="643"/>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“枫叶优体”杯辽宁省大学生 “互联网+儿童·生活·环境”创意项目大赛——辽宁理工学院校赛</w:t>
      </w:r>
    </w:p>
    <w:p>
      <w:pPr>
        <w:spacing w:line="560" w:lineRule="exact"/>
        <w:ind w:firstLine="643"/>
        <w:rPr>
          <w:rFonts w:ascii="仿宋" w:hAnsi="仿宋" w:eastAsia="仿宋"/>
          <w:b/>
          <w:sz w:val="32"/>
          <w:szCs w:val="32"/>
        </w:rPr>
      </w:pPr>
      <w:r>
        <w:rPr>
          <w:rFonts w:hint="eastAsia" w:ascii="仿宋" w:hAnsi="仿宋" w:eastAsia="仿宋"/>
          <w:b/>
          <w:sz w:val="32"/>
          <w:szCs w:val="32"/>
        </w:rPr>
        <w:t>（二）竞赛目的与意义</w:t>
      </w:r>
    </w:p>
    <w:p>
      <w:pPr>
        <w:widowControl/>
        <w:spacing w:line="360" w:lineRule="auto"/>
        <w:ind w:firstLine="566" w:firstLineChars="177"/>
        <w:jc w:val="left"/>
        <w:rPr>
          <w:rFonts w:ascii="仿宋" w:hAnsi="仿宋" w:eastAsia="仿宋"/>
          <w:sz w:val="32"/>
          <w:szCs w:val="32"/>
        </w:rPr>
      </w:pPr>
      <w:r>
        <w:rPr>
          <w:rFonts w:hint="eastAsia" w:ascii="仿宋_GB2312" w:hAnsi="楷体" w:eastAsia="仿宋_GB2312" w:cs="宋体"/>
          <w:color w:val="000000"/>
          <w:kern w:val="0"/>
          <w:sz w:val="32"/>
          <w:szCs w:val="32"/>
        </w:rPr>
        <w:t>旨在激发</w:t>
      </w:r>
      <w:r>
        <w:rPr>
          <w:rFonts w:hint="eastAsia" w:ascii="仿宋_GB2312" w:hAnsi="楷体" w:eastAsia="仿宋_GB2312" w:cs="宋体"/>
          <w:color w:val="000000"/>
          <w:kern w:val="0"/>
          <w:sz w:val="32"/>
          <w:szCs w:val="32"/>
          <w:lang w:val="en-US" w:eastAsia="zh-CN"/>
        </w:rPr>
        <w:t>全校</w:t>
      </w:r>
      <w:r>
        <w:rPr>
          <w:rFonts w:hint="eastAsia" w:ascii="仿宋_GB2312" w:hAnsi="楷体" w:eastAsia="仿宋_GB2312" w:cs="宋体"/>
          <w:color w:val="000000"/>
          <w:kern w:val="0"/>
          <w:sz w:val="32"/>
          <w:szCs w:val="32"/>
        </w:rPr>
        <w:t>学生创新创业热情，培养造就“大众创业、万众创新”的生力军；聚焦“互联网+”背景下儿童教育与生活，探索新时代儿童发展领域的创意及应用，主动对接和服务社会需求，促进教育资源的共享和传播。以大赛为载体、促进产学研用紧密结合，以大赛为契机、完善创新创业支持服务体系，主动服务国家战略和区域发展。进一步深化高等教育教学改革，全面推进跨领域、跨学科的素质教育探索，切实提高高校学生的创新精神、创新意识和创新能力</w:t>
      </w:r>
      <w:r>
        <w:rPr>
          <w:rFonts w:hint="eastAsia" w:ascii="仿宋_GB2312" w:hAnsi="楷体" w:eastAsia="仿宋_GB2312" w:cs="宋体"/>
          <w:color w:val="000000"/>
          <w:kern w:val="0"/>
          <w:sz w:val="32"/>
          <w:szCs w:val="32"/>
          <w:lang w:eastAsia="zh-CN"/>
        </w:rPr>
        <w:t>。</w:t>
      </w:r>
    </w:p>
    <w:p>
      <w:pPr>
        <w:spacing w:line="560" w:lineRule="exact"/>
        <w:ind w:firstLine="643"/>
        <w:rPr>
          <w:rFonts w:ascii="仿宋" w:hAnsi="仿宋" w:eastAsia="仿宋"/>
          <w:b/>
          <w:sz w:val="32"/>
          <w:szCs w:val="32"/>
        </w:rPr>
      </w:pPr>
      <w:r>
        <w:rPr>
          <w:rFonts w:hint="eastAsia" w:ascii="仿宋" w:hAnsi="仿宋" w:eastAsia="仿宋"/>
          <w:b/>
          <w:sz w:val="32"/>
          <w:szCs w:val="32"/>
        </w:rPr>
        <w:t>（三）参赛对象与要求</w:t>
      </w:r>
    </w:p>
    <w:p>
      <w:pPr>
        <w:widowControl/>
        <w:spacing w:line="360" w:lineRule="auto"/>
        <w:ind w:firstLine="566" w:firstLineChars="177"/>
        <w:jc w:val="left"/>
        <w:rPr>
          <w:rFonts w:hint="eastAsia" w:ascii="仿宋_GB2312" w:hAnsi="楷体" w:eastAsia="仿宋_GB2312" w:cs="宋体"/>
          <w:color w:val="000000"/>
          <w:kern w:val="0"/>
          <w:sz w:val="32"/>
          <w:szCs w:val="32"/>
        </w:rPr>
      </w:pPr>
      <w:r>
        <w:rPr>
          <w:rFonts w:hint="eastAsia" w:ascii="仿宋_GB2312" w:hAnsi="楷体" w:eastAsia="仿宋_GB2312" w:cs="宋体"/>
          <w:color w:val="000000"/>
          <w:kern w:val="0"/>
          <w:sz w:val="32"/>
          <w:szCs w:val="32"/>
        </w:rPr>
        <w:t>1.</w:t>
      </w:r>
      <w:r>
        <w:rPr>
          <w:rFonts w:hint="eastAsia" w:ascii="仿宋_GB2312" w:hAnsi="楷体" w:eastAsia="仿宋_GB2312" w:cs="宋体"/>
          <w:color w:val="000000"/>
          <w:kern w:val="0"/>
          <w:sz w:val="32"/>
          <w:szCs w:val="32"/>
          <w:lang w:val="en-US" w:eastAsia="zh-CN"/>
        </w:rPr>
        <w:t>辽宁理工学院</w:t>
      </w:r>
      <w:r>
        <w:rPr>
          <w:rFonts w:hint="eastAsia" w:ascii="仿宋_GB2312" w:hAnsi="楷体" w:eastAsia="仿宋_GB2312" w:cs="宋体"/>
          <w:color w:val="000000"/>
          <w:kern w:val="0"/>
          <w:sz w:val="32"/>
          <w:szCs w:val="32"/>
        </w:rPr>
        <w:t>在读全日制本科学生。鼓励不同专业的本科生跨专业报名参赛。</w:t>
      </w:r>
    </w:p>
    <w:p>
      <w:pPr>
        <w:widowControl/>
        <w:spacing w:line="360" w:lineRule="auto"/>
        <w:ind w:firstLine="566" w:firstLineChars="177"/>
        <w:jc w:val="left"/>
        <w:rPr>
          <w:rFonts w:hint="eastAsia" w:ascii="仿宋_GB2312" w:hAnsi="楷体" w:eastAsia="仿宋_GB2312" w:cs="宋体"/>
          <w:color w:val="000000"/>
          <w:kern w:val="0"/>
          <w:sz w:val="32"/>
          <w:szCs w:val="32"/>
        </w:rPr>
      </w:pPr>
      <w:r>
        <w:rPr>
          <w:rFonts w:hint="eastAsia" w:ascii="仿宋_GB2312" w:hAnsi="楷体" w:eastAsia="仿宋_GB2312" w:cs="宋体"/>
          <w:color w:val="000000"/>
          <w:kern w:val="0"/>
          <w:sz w:val="32"/>
          <w:szCs w:val="32"/>
        </w:rPr>
        <w:t>2.申报以学生团队为单位，每个团队由2-4名学生组成（包含负责人在内，不超过4人），须为项目的实际成员。</w:t>
      </w:r>
    </w:p>
    <w:p>
      <w:pPr>
        <w:widowControl/>
        <w:spacing w:line="360" w:lineRule="auto"/>
        <w:ind w:firstLine="566" w:firstLineChars="177"/>
        <w:jc w:val="left"/>
        <w:rPr>
          <w:rFonts w:hint="eastAsia" w:ascii="仿宋_GB2312" w:hAnsi="楷体" w:eastAsia="仿宋_GB2312" w:cs="宋体"/>
          <w:color w:val="000000"/>
          <w:kern w:val="0"/>
          <w:sz w:val="32"/>
          <w:szCs w:val="32"/>
        </w:rPr>
      </w:pPr>
      <w:r>
        <w:rPr>
          <w:rFonts w:hint="eastAsia" w:ascii="仿宋_GB2312" w:hAnsi="楷体" w:eastAsia="仿宋_GB2312" w:cs="宋体"/>
          <w:color w:val="000000"/>
          <w:kern w:val="0"/>
          <w:sz w:val="32"/>
          <w:szCs w:val="32"/>
          <w:lang w:val="en-US" w:eastAsia="zh-CN"/>
        </w:rPr>
        <w:t>3.</w:t>
      </w:r>
      <w:r>
        <w:rPr>
          <w:rFonts w:hint="eastAsia" w:ascii="仿宋_GB2312" w:hAnsi="楷体" w:eastAsia="仿宋_GB2312" w:cs="宋体"/>
          <w:color w:val="000000"/>
          <w:kern w:val="0"/>
          <w:sz w:val="32"/>
          <w:szCs w:val="32"/>
        </w:rPr>
        <w:t>每名参赛选手只能担任一个项目的负责人，且不可同时作为成员参与其他团队。如不担任负责人仅作为成员参与其他团队，不得超过两个。</w:t>
      </w:r>
    </w:p>
    <w:p>
      <w:pPr>
        <w:spacing w:line="560" w:lineRule="exact"/>
        <w:ind w:firstLine="643"/>
        <w:rPr>
          <w:rFonts w:ascii="仿宋" w:hAnsi="仿宋" w:eastAsia="仿宋"/>
          <w:b/>
          <w:sz w:val="32"/>
          <w:szCs w:val="32"/>
        </w:rPr>
      </w:pPr>
      <w:r>
        <w:rPr>
          <w:rFonts w:hint="eastAsia" w:ascii="仿宋" w:hAnsi="仿宋" w:eastAsia="仿宋"/>
          <w:b/>
          <w:sz w:val="32"/>
          <w:szCs w:val="32"/>
        </w:rPr>
        <w:t>（四）竞赛内容与方式</w:t>
      </w:r>
    </w:p>
    <w:p>
      <w:pPr>
        <w:widowControl/>
        <w:spacing w:line="360" w:lineRule="auto"/>
        <w:ind w:firstLine="566" w:firstLineChars="177"/>
        <w:jc w:val="left"/>
        <w:rPr>
          <w:rFonts w:hint="eastAsia" w:ascii="仿宋_GB2312" w:hAnsi="楷体" w:eastAsia="仿宋_GB2312" w:cs="宋体"/>
          <w:color w:val="000000"/>
          <w:kern w:val="0"/>
          <w:sz w:val="32"/>
          <w:szCs w:val="32"/>
        </w:rPr>
      </w:pPr>
      <w:r>
        <w:rPr>
          <w:rFonts w:hint="eastAsia" w:ascii="仿宋_GB2312" w:hAnsi="楷体" w:eastAsia="仿宋_GB2312" w:cs="宋体"/>
          <w:color w:val="000000"/>
          <w:kern w:val="0"/>
          <w:sz w:val="32"/>
          <w:szCs w:val="32"/>
        </w:rPr>
        <w:t>鼓励参赛选手应用移动互联网、人工智能、物联网、5G等新一代信息技术与“儿童·生活·环境”各领域深度融合，发挥创新能力，体现创意智慧，设计新方案、新产品、新作品、新活动。</w:t>
      </w:r>
    </w:p>
    <w:p>
      <w:pPr>
        <w:widowControl/>
        <w:spacing w:line="360" w:lineRule="auto"/>
        <w:ind w:firstLine="566" w:firstLineChars="177"/>
        <w:jc w:val="left"/>
        <w:rPr>
          <w:rFonts w:hint="eastAsia" w:ascii="仿宋_GB2312" w:hAnsi="楷体" w:eastAsia="仿宋_GB2312" w:cs="宋体"/>
          <w:color w:val="000000"/>
          <w:kern w:val="0"/>
          <w:sz w:val="32"/>
          <w:szCs w:val="32"/>
        </w:rPr>
      </w:pPr>
      <w:r>
        <w:rPr>
          <w:rFonts w:hint="eastAsia" w:ascii="仿宋_GB2312" w:hAnsi="楷体" w:eastAsia="仿宋_GB2312" w:cs="宋体"/>
          <w:color w:val="000000"/>
          <w:kern w:val="0"/>
          <w:sz w:val="32"/>
          <w:szCs w:val="32"/>
        </w:rPr>
        <w:t>本次大赛分为4个竞赛组别：</w:t>
      </w:r>
    </w:p>
    <w:p>
      <w:pPr>
        <w:widowControl/>
        <w:spacing w:line="360" w:lineRule="auto"/>
        <w:ind w:firstLine="569" w:firstLineChars="177"/>
        <w:jc w:val="left"/>
        <w:rPr>
          <w:rFonts w:hint="eastAsia" w:ascii="仿宋_GB2312" w:hAnsi="楷体" w:eastAsia="仿宋_GB2312" w:cs="宋体"/>
          <w:b/>
          <w:bCs/>
          <w:color w:val="000000"/>
          <w:kern w:val="0"/>
          <w:sz w:val="32"/>
          <w:szCs w:val="32"/>
        </w:rPr>
      </w:pPr>
      <w:r>
        <w:rPr>
          <w:rFonts w:hint="eastAsia" w:ascii="仿宋_GB2312" w:hAnsi="楷体" w:eastAsia="仿宋_GB2312" w:cs="宋体"/>
          <w:b/>
          <w:bCs/>
          <w:color w:val="000000"/>
          <w:kern w:val="0"/>
          <w:sz w:val="32"/>
          <w:szCs w:val="32"/>
        </w:rPr>
        <w:t>（1）“互联网+儿童·生活·环境”产业创新企划组</w:t>
      </w:r>
    </w:p>
    <w:p>
      <w:pPr>
        <w:widowControl/>
        <w:spacing w:line="360" w:lineRule="auto"/>
        <w:ind w:firstLine="566" w:firstLineChars="177"/>
        <w:jc w:val="left"/>
        <w:rPr>
          <w:rFonts w:hint="eastAsia" w:ascii="仿宋_GB2312" w:hAnsi="楷体" w:eastAsia="仿宋_GB2312" w:cs="宋体"/>
          <w:color w:val="000000"/>
          <w:kern w:val="0"/>
          <w:sz w:val="32"/>
          <w:szCs w:val="32"/>
        </w:rPr>
      </w:pPr>
      <w:r>
        <w:rPr>
          <w:rFonts w:hint="eastAsia" w:ascii="仿宋_GB2312" w:hAnsi="楷体" w:eastAsia="仿宋_GB2312" w:cs="宋体"/>
          <w:color w:val="000000"/>
          <w:kern w:val="0"/>
          <w:sz w:val="32"/>
          <w:szCs w:val="32"/>
        </w:rPr>
        <w:t>儿童教育模式的创新、转型、升级规划；儿童领域的技术创新和产业构建探索；儿童服务供应链改革等领域的企划方案等。</w:t>
      </w:r>
    </w:p>
    <w:p>
      <w:pPr>
        <w:widowControl/>
        <w:spacing w:line="360" w:lineRule="auto"/>
        <w:ind w:firstLine="566" w:firstLineChars="177"/>
        <w:jc w:val="left"/>
        <w:rPr>
          <w:rFonts w:hint="eastAsia" w:ascii="仿宋_GB2312" w:hAnsi="楷体" w:eastAsia="仿宋_GB2312" w:cs="宋体"/>
          <w:color w:val="000000"/>
          <w:kern w:val="0"/>
          <w:sz w:val="32"/>
          <w:szCs w:val="32"/>
        </w:rPr>
      </w:pPr>
      <w:r>
        <w:rPr>
          <w:rFonts w:hint="eastAsia" w:ascii="仿宋_GB2312" w:hAnsi="楷体" w:eastAsia="仿宋_GB2312" w:cs="宋体"/>
          <w:color w:val="000000"/>
          <w:kern w:val="0"/>
          <w:sz w:val="32"/>
          <w:szCs w:val="32"/>
          <w:lang w:val="en-US" w:eastAsia="zh-CN"/>
        </w:rPr>
        <w:t>提交内容</w:t>
      </w:r>
      <w:r>
        <w:rPr>
          <w:rFonts w:hint="eastAsia" w:ascii="仿宋_GB2312" w:hAnsi="楷体" w:eastAsia="仿宋_GB2312" w:cs="宋体"/>
          <w:color w:val="000000"/>
          <w:kern w:val="0"/>
          <w:sz w:val="32"/>
          <w:szCs w:val="32"/>
        </w:rPr>
        <w:t>：提交企划方案、设计规划书等文本材料及相关佐证材料</w:t>
      </w:r>
    </w:p>
    <w:p>
      <w:pPr>
        <w:widowControl/>
        <w:spacing w:line="360" w:lineRule="auto"/>
        <w:ind w:firstLine="569" w:firstLineChars="177"/>
        <w:jc w:val="left"/>
        <w:rPr>
          <w:rFonts w:hint="eastAsia" w:ascii="仿宋_GB2312" w:hAnsi="楷体" w:eastAsia="仿宋_GB2312" w:cs="宋体"/>
          <w:b/>
          <w:bCs/>
          <w:color w:val="000000"/>
          <w:kern w:val="0"/>
          <w:sz w:val="32"/>
          <w:szCs w:val="32"/>
        </w:rPr>
      </w:pPr>
      <w:r>
        <w:rPr>
          <w:rFonts w:hint="eastAsia" w:ascii="仿宋_GB2312" w:hAnsi="楷体" w:eastAsia="仿宋_GB2312" w:cs="宋体"/>
          <w:b/>
          <w:bCs/>
          <w:color w:val="000000"/>
          <w:kern w:val="0"/>
          <w:sz w:val="32"/>
          <w:szCs w:val="32"/>
        </w:rPr>
        <w:t>（2）“互联网+儿童·生活·环境”产品设计研发组</w:t>
      </w:r>
    </w:p>
    <w:p>
      <w:pPr>
        <w:widowControl/>
        <w:spacing w:line="360" w:lineRule="auto"/>
        <w:ind w:firstLine="566" w:firstLineChars="177"/>
        <w:jc w:val="left"/>
        <w:rPr>
          <w:rFonts w:hint="eastAsia" w:ascii="仿宋_GB2312" w:hAnsi="楷体" w:eastAsia="仿宋_GB2312" w:cs="宋体"/>
          <w:color w:val="000000"/>
          <w:kern w:val="0"/>
          <w:sz w:val="32"/>
          <w:szCs w:val="32"/>
        </w:rPr>
      </w:pPr>
      <w:r>
        <w:rPr>
          <w:rFonts w:hint="eastAsia" w:ascii="仿宋_GB2312" w:hAnsi="楷体" w:eastAsia="仿宋_GB2312" w:cs="宋体"/>
          <w:color w:val="000000"/>
          <w:kern w:val="0"/>
          <w:sz w:val="32"/>
          <w:szCs w:val="32"/>
        </w:rPr>
        <w:t>设计、研发与儿童生活、儿童文化教育、儿童游戏、儿童艺术、儿童健康教育、基于儿童的传统文化等相关的各类创意新产品。</w:t>
      </w:r>
    </w:p>
    <w:p>
      <w:pPr>
        <w:widowControl/>
        <w:spacing w:line="360" w:lineRule="auto"/>
        <w:ind w:firstLine="566" w:firstLineChars="177"/>
        <w:jc w:val="left"/>
        <w:rPr>
          <w:rFonts w:hint="eastAsia" w:ascii="仿宋_GB2312" w:hAnsi="楷体" w:eastAsia="仿宋_GB2312" w:cs="宋体"/>
          <w:color w:val="000000"/>
          <w:kern w:val="0"/>
          <w:sz w:val="32"/>
          <w:szCs w:val="32"/>
        </w:rPr>
      </w:pPr>
      <w:r>
        <w:rPr>
          <w:rFonts w:hint="eastAsia" w:ascii="仿宋_GB2312" w:hAnsi="楷体" w:eastAsia="仿宋_GB2312" w:cs="宋体"/>
          <w:color w:val="000000"/>
          <w:kern w:val="0"/>
          <w:sz w:val="32"/>
          <w:szCs w:val="32"/>
          <w:lang w:val="en-US" w:eastAsia="zh-CN"/>
        </w:rPr>
        <w:t>提交内容</w:t>
      </w:r>
      <w:r>
        <w:rPr>
          <w:rFonts w:hint="eastAsia" w:ascii="仿宋_GB2312" w:hAnsi="楷体" w:eastAsia="仿宋_GB2312" w:cs="宋体"/>
          <w:color w:val="000000"/>
          <w:kern w:val="0"/>
          <w:sz w:val="32"/>
          <w:szCs w:val="32"/>
        </w:rPr>
        <w:t>：提交设计方案等文本材料及相关佐证材料</w:t>
      </w:r>
    </w:p>
    <w:p>
      <w:pPr>
        <w:widowControl/>
        <w:spacing w:line="360" w:lineRule="auto"/>
        <w:ind w:firstLine="569" w:firstLineChars="177"/>
        <w:jc w:val="left"/>
        <w:rPr>
          <w:rFonts w:hint="eastAsia" w:ascii="仿宋_GB2312" w:hAnsi="楷体" w:eastAsia="仿宋_GB2312" w:cs="宋体"/>
          <w:b/>
          <w:bCs/>
          <w:color w:val="000000"/>
          <w:kern w:val="0"/>
          <w:sz w:val="32"/>
          <w:szCs w:val="32"/>
        </w:rPr>
      </w:pPr>
      <w:r>
        <w:rPr>
          <w:rFonts w:hint="eastAsia" w:ascii="仿宋_GB2312" w:hAnsi="楷体" w:eastAsia="仿宋_GB2312" w:cs="宋体"/>
          <w:b/>
          <w:bCs/>
          <w:color w:val="000000"/>
          <w:kern w:val="0"/>
          <w:sz w:val="32"/>
          <w:szCs w:val="32"/>
        </w:rPr>
        <w:t>（3）“互联网+儿童·生活·环境”环境规划设计组</w:t>
      </w:r>
    </w:p>
    <w:p>
      <w:pPr>
        <w:widowControl/>
        <w:spacing w:line="360" w:lineRule="auto"/>
        <w:ind w:firstLine="566" w:firstLineChars="177"/>
        <w:jc w:val="left"/>
        <w:rPr>
          <w:rFonts w:hint="eastAsia" w:ascii="仿宋_GB2312" w:hAnsi="楷体" w:eastAsia="仿宋_GB2312" w:cs="宋体"/>
          <w:color w:val="000000"/>
          <w:kern w:val="0"/>
          <w:sz w:val="32"/>
          <w:szCs w:val="32"/>
        </w:rPr>
      </w:pPr>
      <w:r>
        <w:rPr>
          <w:rFonts w:hint="eastAsia" w:ascii="仿宋_GB2312" w:hAnsi="楷体" w:eastAsia="仿宋_GB2312" w:cs="宋体"/>
          <w:color w:val="000000"/>
          <w:kern w:val="0"/>
          <w:sz w:val="32"/>
          <w:szCs w:val="32"/>
        </w:rPr>
        <w:t>对幼儿园、早教中心、托幼机构、家庭、社区内的儿童教育环境、生活环境、游戏环境等进行环境创意与规划。</w:t>
      </w:r>
    </w:p>
    <w:p>
      <w:pPr>
        <w:widowControl/>
        <w:spacing w:line="360" w:lineRule="auto"/>
        <w:ind w:firstLine="566" w:firstLineChars="177"/>
        <w:jc w:val="left"/>
        <w:rPr>
          <w:rFonts w:hint="eastAsia" w:ascii="仿宋_GB2312" w:hAnsi="楷体" w:eastAsia="仿宋_GB2312" w:cs="宋体"/>
          <w:color w:val="000000"/>
          <w:kern w:val="0"/>
          <w:sz w:val="32"/>
          <w:szCs w:val="32"/>
        </w:rPr>
      </w:pPr>
      <w:r>
        <w:rPr>
          <w:rFonts w:hint="eastAsia" w:ascii="仿宋_GB2312" w:hAnsi="楷体" w:eastAsia="仿宋_GB2312" w:cs="宋体"/>
          <w:color w:val="000000"/>
          <w:kern w:val="0"/>
          <w:sz w:val="32"/>
          <w:szCs w:val="32"/>
          <w:lang w:val="en-US" w:eastAsia="zh-CN"/>
        </w:rPr>
        <w:t>提交内容</w:t>
      </w:r>
      <w:r>
        <w:rPr>
          <w:rFonts w:hint="eastAsia" w:ascii="仿宋_GB2312" w:hAnsi="楷体" w:eastAsia="仿宋_GB2312" w:cs="宋体"/>
          <w:color w:val="000000"/>
          <w:kern w:val="0"/>
          <w:sz w:val="32"/>
          <w:szCs w:val="32"/>
        </w:rPr>
        <w:t>：提交儿童教育环境资源开发方案、儿童生活环境的创意设计与规划、儿童游戏环境的创意设计与规划等文本材料及相关佐证材料</w:t>
      </w:r>
    </w:p>
    <w:p>
      <w:pPr>
        <w:widowControl/>
        <w:spacing w:line="360" w:lineRule="auto"/>
        <w:ind w:firstLine="569" w:firstLineChars="177"/>
        <w:jc w:val="left"/>
        <w:rPr>
          <w:rFonts w:hint="eastAsia" w:ascii="仿宋_GB2312" w:hAnsi="楷体" w:eastAsia="仿宋_GB2312" w:cs="宋体"/>
          <w:b/>
          <w:bCs/>
          <w:color w:val="000000"/>
          <w:kern w:val="0"/>
          <w:sz w:val="32"/>
          <w:szCs w:val="32"/>
        </w:rPr>
      </w:pPr>
      <w:r>
        <w:rPr>
          <w:rFonts w:hint="eastAsia" w:ascii="仿宋_GB2312" w:hAnsi="楷体" w:eastAsia="仿宋_GB2312" w:cs="宋体"/>
          <w:b/>
          <w:bCs/>
          <w:color w:val="000000"/>
          <w:kern w:val="0"/>
          <w:sz w:val="32"/>
          <w:szCs w:val="32"/>
        </w:rPr>
        <w:t>（4）“互联网+儿童·生活·环境”儿童特色活动开发组</w:t>
      </w:r>
    </w:p>
    <w:p>
      <w:pPr>
        <w:widowControl/>
        <w:spacing w:line="360" w:lineRule="auto"/>
        <w:ind w:firstLine="566" w:firstLineChars="177"/>
        <w:jc w:val="left"/>
        <w:rPr>
          <w:rFonts w:hint="eastAsia" w:ascii="仿宋_GB2312" w:hAnsi="楷体" w:eastAsia="仿宋_GB2312" w:cs="宋体"/>
          <w:color w:val="000000"/>
          <w:kern w:val="0"/>
          <w:sz w:val="32"/>
          <w:szCs w:val="32"/>
        </w:rPr>
      </w:pPr>
      <w:r>
        <w:rPr>
          <w:rFonts w:hint="eastAsia" w:ascii="仿宋_GB2312" w:hAnsi="楷体" w:eastAsia="仿宋_GB2312" w:cs="宋体"/>
          <w:color w:val="000000"/>
          <w:kern w:val="0"/>
          <w:sz w:val="32"/>
          <w:szCs w:val="32"/>
        </w:rPr>
        <w:t>主动对接新形势下行业需求，服务0-12岁儿童成长，聚焦儿童多学科多维度活动设计与研发,探索形成学校（幼儿园）、社会、家庭可广泛应用的理念、方案、资源。</w:t>
      </w:r>
    </w:p>
    <w:p>
      <w:pPr>
        <w:widowControl/>
        <w:spacing w:line="360" w:lineRule="auto"/>
        <w:ind w:firstLine="566" w:firstLineChars="177"/>
        <w:jc w:val="left"/>
        <w:rPr>
          <w:rFonts w:hint="eastAsia" w:ascii="仿宋_GB2312" w:hAnsi="楷体" w:eastAsia="仿宋_GB2312" w:cs="宋体"/>
          <w:color w:val="000000"/>
          <w:kern w:val="0"/>
          <w:sz w:val="32"/>
          <w:szCs w:val="32"/>
        </w:rPr>
      </w:pPr>
      <w:r>
        <w:rPr>
          <w:rFonts w:hint="eastAsia" w:ascii="仿宋_GB2312" w:hAnsi="楷体" w:eastAsia="仿宋_GB2312" w:cs="宋体"/>
          <w:color w:val="000000"/>
          <w:kern w:val="0"/>
          <w:sz w:val="32"/>
          <w:szCs w:val="32"/>
          <w:lang w:val="en-US" w:eastAsia="zh-CN"/>
        </w:rPr>
        <w:t>提交内容</w:t>
      </w:r>
      <w:r>
        <w:rPr>
          <w:rFonts w:hint="eastAsia" w:ascii="仿宋_GB2312" w:hAnsi="楷体" w:eastAsia="仿宋_GB2312" w:cs="宋体"/>
          <w:color w:val="000000"/>
          <w:kern w:val="0"/>
          <w:sz w:val="32"/>
          <w:szCs w:val="32"/>
        </w:rPr>
        <w:t>：提交儿童特色活动设计、研发方案、资源建设等文本材料及相关佐证材料</w:t>
      </w:r>
    </w:p>
    <w:p>
      <w:pPr>
        <w:spacing w:line="560" w:lineRule="exact"/>
        <w:ind w:firstLine="643"/>
        <w:rPr>
          <w:rFonts w:ascii="仿宋" w:hAnsi="仿宋" w:eastAsia="仿宋"/>
          <w:b/>
          <w:sz w:val="32"/>
          <w:szCs w:val="32"/>
        </w:rPr>
      </w:pPr>
      <w:r>
        <w:rPr>
          <w:rFonts w:hint="eastAsia" w:ascii="仿宋" w:hAnsi="仿宋" w:eastAsia="仿宋"/>
          <w:b/>
          <w:sz w:val="32"/>
          <w:szCs w:val="32"/>
        </w:rPr>
        <w:t>（五）竞赛时间及交稿方式</w:t>
      </w:r>
    </w:p>
    <w:p>
      <w:pPr>
        <w:widowControl/>
        <w:spacing w:line="360" w:lineRule="auto"/>
        <w:ind w:firstLine="566" w:firstLineChars="177"/>
        <w:jc w:val="left"/>
        <w:rPr>
          <w:rFonts w:hint="eastAsia" w:ascii="仿宋_GB2312" w:hAnsi="楷体" w:eastAsia="仿宋_GB2312" w:cs="宋体"/>
          <w:color w:val="000000"/>
          <w:kern w:val="0"/>
          <w:sz w:val="32"/>
          <w:szCs w:val="32"/>
        </w:rPr>
      </w:pPr>
      <w:r>
        <w:rPr>
          <w:rFonts w:hint="eastAsia" w:ascii="仿宋_GB2312" w:hAnsi="楷体" w:eastAsia="仿宋_GB2312" w:cs="宋体"/>
          <w:color w:val="000000"/>
          <w:kern w:val="0"/>
          <w:sz w:val="32"/>
          <w:szCs w:val="32"/>
          <w:lang w:val="en-US" w:eastAsia="zh-CN"/>
        </w:rPr>
        <w:t>1.</w:t>
      </w:r>
      <w:r>
        <w:rPr>
          <w:rFonts w:hint="eastAsia" w:ascii="仿宋_GB2312" w:hAnsi="楷体" w:eastAsia="仿宋_GB2312" w:cs="宋体"/>
          <w:color w:val="000000"/>
          <w:kern w:val="0"/>
          <w:sz w:val="32"/>
          <w:szCs w:val="32"/>
        </w:rPr>
        <w:t>作品投送时间：</w:t>
      </w:r>
      <w:r>
        <w:rPr>
          <w:rFonts w:hint="eastAsia" w:ascii="仿宋_GB2312" w:hAnsi="楷体" w:eastAsia="仿宋_GB2312" w:cs="宋体"/>
          <w:color w:val="000000"/>
          <w:kern w:val="0"/>
          <w:sz w:val="32"/>
          <w:szCs w:val="32"/>
          <w:lang w:val="en-US" w:eastAsia="zh-CN"/>
        </w:rPr>
        <w:t>2024年5月29日-2024年5月31日</w:t>
      </w:r>
    </w:p>
    <w:p>
      <w:pPr>
        <w:spacing w:line="360" w:lineRule="auto"/>
        <w:ind w:firstLine="640"/>
        <w:rPr>
          <w:rFonts w:hint="eastAsia" w:ascii="仿宋" w:hAnsi="仿宋" w:eastAsia="仿宋"/>
          <w:sz w:val="32"/>
          <w:szCs w:val="32"/>
          <w:lang w:val="en-US" w:eastAsia="zh-CN"/>
        </w:rPr>
      </w:pPr>
      <w:r>
        <w:rPr>
          <w:rFonts w:hint="eastAsia" w:ascii="仿宋" w:hAnsi="仿宋" w:eastAsia="仿宋"/>
          <w:sz w:val="32"/>
          <w:szCs w:val="32"/>
          <w:lang w:val="en-US" w:eastAsia="zh-CN"/>
        </w:rPr>
        <w:t>2.作品投送电子版及纸质版：</w:t>
      </w:r>
    </w:p>
    <w:p>
      <w:pPr>
        <w:spacing w:line="360" w:lineRule="auto"/>
        <w:ind w:firstLine="640"/>
        <w:rPr>
          <w:rFonts w:hint="eastAsia" w:ascii="仿宋" w:hAnsi="仿宋" w:eastAsia="仿宋"/>
          <w:sz w:val="32"/>
          <w:szCs w:val="32"/>
          <w:lang w:val="en-US" w:eastAsia="zh-CN"/>
        </w:rPr>
      </w:pPr>
      <w:r>
        <w:rPr>
          <w:rFonts w:hint="eastAsia" w:ascii="仿宋" w:hAnsi="仿宋" w:eastAsia="仿宋"/>
          <w:sz w:val="32"/>
          <w:szCs w:val="32"/>
          <w:lang w:val="en-US" w:eastAsia="zh-CN"/>
        </w:rPr>
        <w:t>①参加团队请将报名表、参赛作品等发至邮箱：</w:t>
      </w:r>
      <w:r>
        <w:rPr>
          <w:rFonts w:hint="eastAsia" w:ascii="仿宋" w:hAnsi="仿宋" w:eastAsia="仿宋"/>
          <w:sz w:val="32"/>
          <w:szCs w:val="32"/>
          <w:lang w:val="en-US" w:eastAsia="zh-CN"/>
        </w:rPr>
        <w:fldChar w:fldCharType="begin"/>
      </w:r>
      <w:r>
        <w:rPr>
          <w:rFonts w:hint="eastAsia" w:ascii="仿宋" w:hAnsi="仿宋" w:eastAsia="仿宋"/>
          <w:sz w:val="32"/>
          <w:szCs w:val="32"/>
          <w:lang w:val="en-US" w:eastAsia="zh-CN"/>
        </w:rPr>
        <w:instrText xml:space="preserve"> HYPERLINK "mailto:1697531774@qq.com;" </w:instrText>
      </w:r>
      <w:r>
        <w:rPr>
          <w:rFonts w:hint="eastAsia" w:ascii="仿宋" w:hAnsi="仿宋" w:eastAsia="仿宋"/>
          <w:sz w:val="32"/>
          <w:szCs w:val="32"/>
          <w:lang w:val="en-US" w:eastAsia="zh-CN"/>
        </w:rPr>
        <w:fldChar w:fldCharType="separate"/>
      </w:r>
      <w:r>
        <w:rPr>
          <w:rStyle w:val="9"/>
          <w:rFonts w:hint="eastAsia" w:ascii="仿宋" w:hAnsi="仿宋" w:eastAsia="仿宋"/>
          <w:sz w:val="32"/>
          <w:szCs w:val="32"/>
          <w:lang w:val="en-US" w:eastAsia="zh-CN"/>
        </w:rPr>
        <w:t>1697531774@qq.com;</w:t>
      </w:r>
      <w:r>
        <w:rPr>
          <w:rFonts w:hint="eastAsia" w:ascii="仿宋" w:hAnsi="仿宋" w:eastAsia="仿宋"/>
          <w:sz w:val="32"/>
          <w:szCs w:val="32"/>
          <w:lang w:val="en-US" w:eastAsia="zh-CN"/>
        </w:rPr>
        <w:fldChar w:fldCharType="end"/>
      </w:r>
    </w:p>
    <w:p>
      <w:pPr>
        <w:widowControl/>
        <w:numPr>
          <w:ilvl w:val="0"/>
          <w:numId w:val="0"/>
        </w:numPr>
        <w:spacing w:line="360" w:lineRule="auto"/>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②松山校区：纸质版于</w:t>
      </w:r>
      <w:r>
        <w:rPr>
          <w:rFonts w:hint="eastAsia" w:ascii="仿宋_GB2312" w:hAnsi="楷体" w:eastAsia="仿宋_GB2312" w:cs="宋体"/>
          <w:color w:val="000000"/>
          <w:kern w:val="0"/>
          <w:sz w:val="32"/>
          <w:szCs w:val="32"/>
          <w:lang w:val="en-US" w:eastAsia="zh-CN"/>
        </w:rPr>
        <w:t>2024年5月29日-2024年5月31日</w:t>
      </w:r>
      <w:r>
        <w:rPr>
          <w:rFonts w:hint="eastAsia" w:ascii="仿宋" w:hAnsi="仿宋" w:eastAsia="仿宋"/>
          <w:sz w:val="32"/>
          <w:szCs w:val="32"/>
          <w:lang w:val="en-US" w:eastAsia="zh-CN"/>
        </w:rPr>
        <w:t>交至知远楼415</w:t>
      </w:r>
    </w:p>
    <w:p>
      <w:pPr>
        <w:widowControl/>
        <w:numPr>
          <w:ilvl w:val="0"/>
          <w:numId w:val="0"/>
        </w:numPr>
        <w:spacing w:line="360" w:lineRule="auto"/>
        <w:ind w:firstLine="640" w:firstLineChars="200"/>
        <w:jc w:val="left"/>
        <w:rPr>
          <w:rFonts w:hint="default" w:ascii="仿宋" w:hAnsi="仿宋" w:eastAsia="仿宋"/>
          <w:sz w:val="32"/>
          <w:szCs w:val="32"/>
          <w:lang w:val="en-US" w:eastAsia="zh-CN"/>
        </w:rPr>
      </w:pPr>
      <w:r>
        <w:rPr>
          <w:rFonts w:hint="eastAsia" w:ascii="仿宋" w:hAnsi="仿宋" w:eastAsia="仿宋"/>
          <w:sz w:val="32"/>
          <w:szCs w:val="32"/>
          <w:lang w:val="en-US" w:eastAsia="zh-CN"/>
        </w:rPr>
        <w:t>③滨海校区：纸质版于</w:t>
      </w:r>
      <w:r>
        <w:rPr>
          <w:rFonts w:hint="eastAsia" w:ascii="仿宋_GB2312" w:hAnsi="楷体" w:eastAsia="仿宋_GB2312" w:cs="宋体"/>
          <w:color w:val="000000"/>
          <w:kern w:val="0"/>
          <w:sz w:val="32"/>
          <w:szCs w:val="32"/>
          <w:lang w:val="en-US" w:eastAsia="zh-CN"/>
        </w:rPr>
        <w:t>2024年5月29日-2024年5月31日交至科技实验楼304-1</w:t>
      </w:r>
    </w:p>
    <w:p>
      <w:pPr>
        <w:spacing w:line="560" w:lineRule="exact"/>
        <w:ind w:firstLine="643"/>
        <w:rPr>
          <w:rFonts w:ascii="仿宋" w:hAnsi="仿宋" w:eastAsia="仿宋"/>
          <w:b/>
          <w:sz w:val="32"/>
          <w:szCs w:val="32"/>
        </w:rPr>
      </w:pPr>
      <w:r>
        <w:rPr>
          <w:rFonts w:hint="eastAsia" w:ascii="仿宋" w:hAnsi="仿宋" w:eastAsia="仿宋"/>
          <w:b/>
          <w:sz w:val="32"/>
          <w:szCs w:val="32"/>
        </w:rPr>
        <w:t>（六）竞赛环境与设施</w:t>
      </w:r>
    </w:p>
    <w:p>
      <w:pPr>
        <w:spacing w:line="560" w:lineRule="exact"/>
        <w:ind w:firstLine="640"/>
        <w:rPr>
          <w:rFonts w:ascii="仿宋" w:hAnsi="仿宋" w:eastAsia="仿宋"/>
          <w:sz w:val="32"/>
          <w:szCs w:val="32"/>
        </w:rPr>
      </w:pPr>
      <w:r>
        <w:rPr>
          <w:rFonts w:hint="eastAsia" w:ascii="仿宋" w:hAnsi="仿宋" w:eastAsia="仿宋"/>
          <w:sz w:val="32"/>
          <w:szCs w:val="32"/>
        </w:rPr>
        <w:t>本次大赛无环境与设施需求。</w:t>
      </w:r>
    </w:p>
    <w:p>
      <w:pPr>
        <w:spacing w:line="560" w:lineRule="exact"/>
        <w:ind w:firstLine="640"/>
        <w:rPr>
          <w:rFonts w:ascii="黑体" w:hAnsi="黑体" w:eastAsia="黑体"/>
          <w:sz w:val="32"/>
          <w:szCs w:val="32"/>
        </w:rPr>
      </w:pPr>
      <w:r>
        <w:rPr>
          <w:rFonts w:hint="eastAsia" w:ascii="黑体" w:hAnsi="黑体" w:eastAsia="黑体"/>
          <w:sz w:val="32"/>
          <w:szCs w:val="32"/>
        </w:rPr>
        <w:t>二、竞赛组织</w:t>
      </w:r>
    </w:p>
    <w:p>
      <w:pPr>
        <w:spacing w:line="560" w:lineRule="exact"/>
        <w:ind w:firstLine="643"/>
        <w:rPr>
          <w:rFonts w:ascii="仿宋" w:hAnsi="仿宋" w:eastAsia="仿宋"/>
          <w:b/>
          <w:sz w:val="32"/>
          <w:szCs w:val="32"/>
        </w:rPr>
      </w:pPr>
      <w:r>
        <w:rPr>
          <w:rFonts w:hint="eastAsia" w:ascii="仿宋" w:hAnsi="仿宋" w:eastAsia="仿宋"/>
          <w:b/>
          <w:sz w:val="32"/>
          <w:szCs w:val="32"/>
        </w:rPr>
        <w:t>（一）组织机构</w:t>
      </w:r>
    </w:p>
    <w:p>
      <w:pPr>
        <w:spacing w:line="560" w:lineRule="exact"/>
        <w:ind w:firstLine="640"/>
        <w:rPr>
          <w:rFonts w:ascii="仿宋" w:hAnsi="仿宋" w:eastAsia="仿宋"/>
          <w:sz w:val="32"/>
          <w:szCs w:val="32"/>
        </w:rPr>
      </w:pPr>
      <w:r>
        <w:rPr>
          <w:rFonts w:hint="eastAsia" w:ascii="仿宋" w:hAnsi="仿宋" w:eastAsia="仿宋"/>
          <w:sz w:val="32"/>
          <w:szCs w:val="32"/>
        </w:rPr>
        <w:t>大赛由辽宁理工学院创新创业学院主办，</w:t>
      </w:r>
      <w:r>
        <w:rPr>
          <w:rFonts w:hint="eastAsia" w:ascii="仿宋" w:hAnsi="仿宋" w:eastAsia="仿宋"/>
          <w:sz w:val="32"/>
          <w:szCs w:val="32"/>
          <w:lang w:val="en-US" w:eastAsia="zh-CN"/>
        </w:rPr>
        <w:t>管理工程</w:t>
      </w:r>
      <w:r>
        <w:rPr>
          <w:rFonts w:hint="eastAsia" w:ascii="仿宋" w:hAnsi="仿宋" w:eastAsia="仿宋"/>
          <w:sz w:val="32"/>
          <w:szCs w:val="32"/>
        </w:rPr>
        <w:t>学院风景园林专业</w:t>
      </w:r>
      <w:r>
        <w:rPr>
          <w:rFonts w:hint="eastAsia" w:ascii="仿宋" w:hAnsi="仿宋" w:eastAsia="仿宋"/>
          <w:sz w:val="32"/>
          <w:szCs w:val="32"/>
          <w:lang w:val="en-US" w:eastAsia="zh-CN"/>
        </w:rPr>
        <w:t>教研室、智能工程学院</w:t>
      </w:r>
      <w:r>
        <w:rPr>
          <w:rFonts w:hint="eastAsia" w:ascii="仿宋" w:hAnsi="仿宋" w:eastAsia="仿宋"/>
          <w:sz w:val="32"/>
          <w:szCs w:val="32"/>
        </w:rPr>
        <w:t>承办。</w:t>
      </w:r>
    </w:p>
    <w:p>
      <w:pPr>
        <w:spacing w:line="560" w:lineRule="exact"/>
        <w:ind w:firstLine="643"/>
        <w:rPr>
          <w:rFonts w:ascii="仿宋" w:hAnsi="仿宋" w:eastAsia="仿宋"/>
          <w:b/>
          <w:sz w:val="32"/>
          <w:szCs w:val="32"/>
        </w:rPr>
      </w:pPr>
      <w:r>
        <w:rPr>
          <w:rFonts w:hint="eastAsia" w:ascii="仿宋" w:hAnsi="仿宋" w:eastAsia="仿宋"/>
          <w:b/>
          <w:sz w:val="32"/>
          <w:szCs w:val="32"/>
        </w:rPr>
        <w:t>（二）组织形式</w:t>
      </w:r>
    </w:p>
    <w:p>
      <w:pPr>
        <w:widowControl/>
        <w:spacing w:line="360" w:lineRule="auto"/>
        <w:ind w:firstLine="566" w:firstLineChars="177"/>
        <w:jc w:val="left"/>
        <w:rPr>
          <w:rFonts w:hint="eastAsia" w:ascii="仿宋_GB2312" w:hAnsi="楷体" w:eastAsia="仿宋_GB2312" w:cs="宋体"/>
          <w:color w:val="000000"/>
          <w:kern w:val="0"/>
          <w:sz w:val="32"/>
          <w:szCs w:val="32"/>
        </w:rPr>
      </w:pPr>
      <w:r>
        <w:rPr>
          <w:rFonts w:hint="eastAsia" w:ascii="仿宋_GB2312" w:hAnsi="楷体" w:eastAsia="仿宋_GB2312" w:cs="宋体"/>
          <w:color w:val="000000"/>
          <w:kern w:val="0"/>
          <w:sz w:val="32"/>
          <w:szCs w:val="32"/>
        </w:rPr>
        <w:t>申报以学生团队为单位，每个团队由2-4名学生组成（包含负责人在内，不超过4人），须为项目的实际成员。</w:t>
      </w:r>
    </w:p>
    <w:p>
      <w:pPr>
        <w:spacing w:line="560" w:lineRule="exact"/>
        <w:ind w:firstLine="640"/>
        <w:rPr>
          <w:rFonts w:ascii="黑体" w:hAnsi="黑体" w:eastAsia="黑体"/>
          <w:sz w:val="32"/>
          <w:szCs w:val="32"/>
        </w:rPr>
      </w:pPr>
      <w:r>
        <w:rPr>
          <w:rFonts w:hint="eastAsia" w:ascii="黑体" w:hAnsi="黑体" w:eastAsia="黑体"/>
          <w:sz w:val="32"/>
          <w:szCs w:val="32"/>
        </w:rPr>
        <w:t>三、竞赛规则</w:t>
      </w:r>
    </w:p>
    <w:p>
      <w:pPr>
        <w:spacing w:line="560" w:lineRule="exact"/>
        <w:ind w:firstLine="643"/>
        <w:rPr>
          <w:rFonts w:ascii="仿宋" w:hAnsi="仿宋" w:eastAsia="仿宋"/>
          <w:b/>
          <w:sz w:val="32"/>
          <w:szCs w:val="32"/>
        </w:rPr>
      </w:pPr>
      <w:r>
        <w:rPr>
          <w:rFonts w:hint="eastAsia" w:ascii="仿宋" w:hAnsi="仿宋" w:eastAsia="仿宋"/>
          <w:b/>
          <w:sz w:val="32"/>
          <w:szCs w:val="32"/>
        </w:rPr>
        <w:t>（一）竞赛规则</w:t>
      </w:r>
    </w:p>
    <w:p>
      <w:pPr>
        <w:spacing w:line="560" w:lineRule="exact"/>
        <w:ind w:firstLine="640"/>
        <w:rPr>
          <w:rFonts w:ascii="仿宋" w:hAnsi="仿宋" w:eastAsia="仿宋"/>
          <w:sz w:val="32"/>
          <w:szCs w:val="32"/>
        </w:rPr>
      </w:pPr>
      <w:r>
        <w:rPr>
          <w:rFonts w:hint="eastAsia" w:ascii="仿宋" w:hAnsi="仿宋" w:eastAsia="仿宋"/>
          <w:sz w:val="32"/>
          <w:szCs w:val="32"/>
        </w:rPr>
        <w:t>1.参赛项目能够将现代信息技术与“儿童·生活·环境”相融合，设计新方案、新产品、新作品、新活动；发挥互联网在儿童教育领域中的作用，促进互联网与儿童教育的相融共生。</w:t>
      </w:r>
    </w:p>
    <w:p>
      <w:pPr>
        <w:spacing w:line="560" w:lineRule="exact"/>
        <w:ind w:firstLine="640"/>
        <w:rPr>
          <w:rFonts w:hint="eastAsia" w:ascii="仿宋" w:hAnsi="仿宋" w:eastAsia="仿宋"/>
          <w:sz w:val="32"/>
          <w:szCs w:val="32"/>
        </w:rPr>
      </w:pPr>
      <w:r>
        <w:rPr>
          <w:rFonts w:hint="eastAsia" w:ascii="仿宋" w:hAnsi="仿宋" w:eastAsia="仿宋"/>
          <w:sz w:val="32"/>
          <w:szCs w:val="32"/>
        </w:rPr>
        <w:t>2.参赛项目须真实、健康、合法，无任何不良信息，项目立意应弘扬正能量，践行社会主义核心价值观。参赛项目不得侵犯他人知识产权；所涉及的发明创造、专利技术、资源等必须拥有清晰合法的知识产权或物权；抄袭、盗用、提供虚假材料或违反相关法律法规一经发现即刻丧失参赛相关权利并自负一切法律责任。</w:t>
      </w:r>
    </w:p>
    <w:p>
      <w:pPr>
        <w:spacing w:line="560" w:lineRule="exact"/>
        <w:ind w:firstLine="640"/>
        <w:rPr>
          <w:rFonts w:hint="eastAsia" w:ascii="仿宋" w:hAnsi="仿宋" w:eastAsia="仿宋"/>
          <w:sz w:val="32"/>
          <w:szCs w:val="32"/>
        </w:rPr>
      </w:pPr>
      <w:r>
        <w:rPr>
          <w:rFonts w:hint="eastAsia" w:ascii="仿宋" w:hAnsi="仿宋" w:eastAsia="仿宋"/>
          <w:sz w:val="32"/>
          <w:szCs w:val="32"/>
        </w:rPr>
        <w:t>3.参赛项目涉及他人知识产权的，报名时需提交完整的具有法律效力的所有人书面授权许可书、专利证书等。</w:t>
      </w:r>
    </w:p>
    <w:p>
      <w:pPr>
        <w:spacing w:line="560" w:lineRule="exact"/>
        <w:ind w:firstLine="640"/>
        <w:rPr>
          <w:rFonts w:hint="eastAsia" w:ascii="仿宋" w:hAnsi="仿宋" w:eastAsia="仿宋"/>
          <w:sz w:val="32"/>
          <w:szCs w:val="32"/>
        </w:rPr>
      </w:pPr>
      <w:r>
        <w:rPr>
          <w:rFonts w:hint="eastAsia" w:ascii="仿宋" w:hAnsi="仿宋" w:eastAsia="仿宋"/>
          <w:sz w:val="32"/>
          <w:szCs w:val="32"/>
        </w:rPr>
        <w:t>4.参赛项目需紧密结合本次大赛的主题“互联网+儿童·生活·环境”，选择相应组别提交参赛材料，鼓励参赛队跨专业融合，大胆进行创新设计。参赛选手所学专业不限，但参赛项目的内容、形式要符合相应组别的要求</w:t>
      </w:r>
    </w:p>
    <w:p>
      <w:pPr>
        <w:spacing w:line="560" w:lineRule="exact"/>
        <w:ind w:firstLine="643"/>
        <w:rPr>
          <w:rFonts w:ascii="仿宋" w:hAnsi="仿宋" w:eastAsia="仿宋"/>
          <w:b/>
          <w:sz w:val="32"/>
          <w:szCs w:val="32"/>
        </w:rPr>
      </w:pPr>
      <w:r>
        <w:rPr>
          <w:rFonts w:hint="eastAsia" w:ascii="仿宋" w:hAnsi="仿宋" w:eastAsia="仿宋"/>
          <w:b/>
          <w:sz w:val="32"/>
          <w:szCs w:val="32"/>
        </w:rPr>
        <w:t>（二）评审方式与评分标准</w:t>
      </w:r>
    </w:p>
    <w:p>
      <w:pPr>
        <w:pStyle w:val="2"/>
        <w:spacing w:line="560" w:lineRule="exact"/>
        <w:ind w:firstLine="640" w:firstLineChars="200"/>
        <w:rPr>
          <w:rFonts w:ascii="仿宋" w:hAnsi="仿宋" w:eastAsia="仿宋" w:cs="宋体"/>
          <w:sz w:val="32"/>
          <w:szCs w:val="32"/>
        </w:rPr>
      </w:pPr>
      <w:r>
        <w:rPr>
          <w:rFonts w:hint="eastAsia" w:ascii="仿宋" w:hAnsi="仿宋" w:eastAsia="仿宋"/>
          <w:sz w:val="32"/>
          <w:szCs w:val="32"/>
        </w:rPr>
        <w:t>1.采用</w:t>
      </w:r>
      <w:r>
        <w:rPr>
          <w:rFonts w:hint="eastAsia" w:ascii="仿宋" w:hAnsi="仿宋" w:eastAsia="仿宋" w:cs="宋体"/>
          <w:sz w:val="32"/>
          <w:szCs w:val="32"/>
        </w:rPr>
        <w:t>评委匿名评审</w:t>
      </w:r>
      <w:r>
        <w:rPr>
          <w:rFonts w:hint="eastAsia" w:ascii="仿宋" w:hAnsi="仿宋" w:eastAsia="仿宋"/>
          <w:sz w:val="32"/>
          <w:szCs w:val="32"/>
        </w:rPr>
        <w:t>方式评审</w:t>
      </w:r>
      <w:r>
        <w:rPr>
          <w:rFonts w:hint="eastAsia" w:ascii="仿宋" w:hAnsi="仿宋" w:eastAsia="仿宋" w:cs="宋体"/>
          <w:sz w:val="32"/>
          <w:szCs w:val="32"/>
        </w:rPr>
        <w:t>。</w:t>
      </w:r>
    </w:p>
    <w:p>
      <w:pPr>
        <w:pStyle w:val="2"/>
        <w:spacing w:line="560" w:lineRule="exact"/>
        <w:ind w:firstLine="640" w:firstLineChars="200"/>
        <w:rPr>
          <w:rFonts w:ascii="仿宋" w:hAnsi="仿宋" w:eastAsia="仿宋" w:cs="宋体"/>
          <w:sz w:val="32"/>
          <w:szCs w:val="32"/>
        </w:rPr>
      </w:pPr>
      <w:r>
        <w:rPr>
          <w:rFonts w:hint="eastAsia" w:ascii="仿宋" w:hAnsi="仿宋" w:eastAsia="仿宋" w:cs="宋体"/>
          <w:sz w:val="32"/>
          <w:szCs w:val="32"/>
        </w:rPr>
        <w:t xml:space="preserve">2.评分标准：  </w:t>
      </w:r>
    </w:p>
    <w:tbl>
      <w:tblPr>
        <w:tblStyle w:val="6"/>
        <w:tblW w:w="861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548"/>
        <w:gridCol w:w="6145"/>
        <w:gridCol w:w="9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812" w:type="dxa"/>
            <w:tcBorders>
              <w:top w:val="single" w:color="auto" w:sz="8" w:space="0"/>
              <w:left w:val="single" w:color="auto" w:sz="8" w:space="0"/>
              <w:bottom w:val="single" w:color="auto" w:sz="8" w:space="0"/>
              <w:right w:val="single" w:color="auto" w:sz="8" w:space="0"/>
            </w:tcBorders>
            <w:shd w:val="clear" w:color="auto" w:fill="auto"/>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center"/>
              <w:textAlignment w:val="baseline"/>
              <w:rPr>
                <w:rFonts w:ascii="微软雅黑" w:hAnsi="微软雅黑" w:eastAsia="微软雅黑" w:cs="微软雅黑"/>
                <w:b/>
                <w:bCs/>
                <w:color w:val="auto"/>
              </w:rPr>
            </w:pPr>
            <w:r>
              <w:rPr>
                <w:rFonts w:ascii="仿宋" w:hAnsi="仿宋" w:eastAsia="仿宋" w:cs="仿宋"/>
                <w:b/>
                <w:bCs/>
                <w:i w:val="0"/>
                <w:iCs w:val="0"/>
                <w:caps w:val="0"/>
                <w:color w:val="auto"/>
                <w:spacing w:val="0"/>
                <w:sz w:val="28"/>
                <w:szCs w:val="28"/>
                <w:vertAlign w:val="baseline"/>
              </w:rPr>
              <w:t>评审要点</w:t>
            </w:r>
          </w:p>
        </w:tc>
        <w:tc>
          <w:tcPr>
            <w:tcW w:w="7476" w:type="dxa"/>
            <w:tcBorders>
              <w:top w:val="single" w:color="auto" w:sz="8" w:space="0"/>
              <w:left w:val="single" w:color="auto" w:sz="8" w:space="0"/>
              <w:bottom w:val="single" w:color="auto" w:sz="8" w:space="0"/>
              <w:right w:val="single" w:color="auto" w:sz="8" w:space="0"/>
            </w:tcBorders>
            <w:shd w:val="clear" w:color="auto" w:fill="auto"/>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baseline"/>
              <w:rPr>
                <w:rFonts w:hint="eastAsia" w:ascii="微软雅黑" w:hAnsi="微软雅黑" w:eastAsia="微软雅黑" w:cs="微软雅黑"/>
                <w:b/>
                <w:bCs/>
                <w:color w:val="auto"/>
              </w:rPr>
            </w:pPr>
            <w:r>
              <w:rPr>
                <w:rFonts w:hint="eastAsia" w:ascii="仿宋" w:hAnsi="仿宋" w:eastAsia="仿宋" w:cs="仿宋"/>
                <w:b/>
                <w:bCs/>
                <w:i w:val="0"/>
                <w:iCs w:val="0"/>
                <w:caps w:val="0"/>
                <w:color w:val="auto"/>
                <w:spacing w:val="0"/>
                <w:sz w:val="28"/>
                <w:szCs w:val="28"/>
                <w:vertAlign w:val="baseline"/>
              </w:rPr>
              <w:t>评审内容</w:t>
            </w:r>
          </w:p>
        </w:tc>
        <w:tc>
          <w:tcPr>
            <w:tcW w:w="1032" w:type="dxa"/>
            <w:tcBorders>
              <w:top w:val="single" w:color="auto" w:sz="8" w:space="0"/>
              <w:left w:val="single" w:color="auto" w:sz="8" w:space="0"/>
              <w:bottom w:val="single" w:color="auto" w:sz="8" w:space="0"/>
              <w:right w:val="single" w:color="auto" w:sz="8" w:space="0"/>
            </w:tcBorders>
            <w:shd w:val="clear" w:color="auto" w:fill="auto"/>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center"/>
              <w:textAlignment w:val="baseline"/>
              <w:rPr>
                <w:rFonts w:hint="eastAsia" w:ascii="微软雅黑" w:hAnsi="微软雅黑" w:eastAsia="微软雅黑" w:cs="微软雅黑"/>
                <w:b/>
                <w:bCs/>
                <w:color w:val="auto"/>
              </w:rPr>
            </w:pPr>
            <w:r>
              <w:rPr>
                <w:rFonts w:hint="eastAsia" w:ascii="仿宋" w:hAnsi="仿宋" w:eastAsia="仿宋" w:cs="仿宋"/>
                <w:b/>
                <w:bCs/>
                <w:i w:val="0"/>
                <w:iCs w:val="0"/>
                <w:caps w:val="0"/>
                <w:color w:val="auto"/>
                <w:spacing w:val="0"/>
                <w:sz w:val="28"/>
                <w:szCs w:val="28"/>
                <w:vertAlign w:val="baseline"/>
              </w:rPr>
              <w:t>分值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812" w:type="dxa"/>
            <w:tcBorders>
              <w:top w:val="single" w:color="auto" w:sz="8" w:space="0"/>
              <w:left w:val="single" w:color="auto" w:sz="8" w:space="0"/>
              <w:bottom w:val="single" w:color="auto" w:sz="8" w:space="0"/>
              <w:right w:val="single" w:color="auto" w:sz="8" w:space="0"/>
            </w:tcBorders>
            <w:shd w:val="clear" w:color="auto" w:fill="auto"/>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center"/>
              <w:textAlignment w:val="baseline"/>
              <w:rPr>
                <w:rFonts w:hint="eastAsia" w:ascii="仿宋" w:hAnsi="仿宋" w:eastAsia="仿宋" w:cs="仿宋"/>
                <w:b w:val="0"/>
                <w:bCs w:val="0"/>
                <w:color w:val="auto"/>
              </w:rPr>
            </w:pPr>
            <w:r>
              <w:rPr>
                <w:rFonts w:hint="eastAsia" w:ascii="仿宋" w:hAnsi="仿宋" w:eastAsia="仿宋" w:cs="仿宋"/>
                <w:b w:val="0"/>
                <w:bCs w:val="0"/>
                <w:i w:val="0"/>
                <w:iCs w:val="0"/>
                <w:caps w:val="0"/>
                <w:color w:val="auto"/>
                <w:spacing w:val="0"/>
                <w:sz w:val="24"/>
                <w:szCs w:val="24"/>
                <w:vertAlign w:val="baseline"/>
              </w:rPr>
              <w:t>选题价值</w:t>
            </w:r>
          </w:p>
        </w:tc>
        <w:tc>
          <w:tcPr>
            <w:tcW w:w="7476" w:type="dxa"/>
            <w:tcBorders>
              <w:top w:val="single" w:color="auto" w:sz="8" w:space="0"/>
              <w:left w:val="single" w:color="auto" w:sz="8" w:space="0"/>
              <w:bottom w:val="single" w:color="auto" w:sz="8" w:space="0"/>
              <w:right w:val="single" w:color="auto" w:sz="8" w:space="0"/>
            </w:tcBorders>
            <w:shd w:val="clear" w:color="auto" w:fill="auto"/>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textAlignment w:val="baseline"/>
              <w:rPr>
                <w:rFonts w:hint="eastAsia" w:ascii="仿宋" w:hAnsi="仿宋" w:eastAsia="仿宋" w:cs="仿宋"/>
                <w:b w:val="0"/>
                <w:bCs w:val="0"/>
                <w:color w:val="auto"/>
              </w:rPr>
            </w:pPr>
            <w:r>
              <w:rPr>
                <w:rFonts w:hint="eastAsia" w:ascii="仿宋" w:hAnsi="仿宋" w:eastAsia="仿宋" w:cs="仿宋"/>
                <w:b w:val="0"/>
                <w:bCs w:val="0"/>
                <w:i w:val="0"/>
                <w:iCs w:val="0"/>
                <w:caps w:val="0"/>
                <w:color w:val="auto"/>
                <w:spacing w:val="0"/>
                <w:sz w:val="24"/>
                <w:szCs w:val="24"/>
                <w:vertAlign w:val="baseline"/>
              </w:rPr>
              <w:t>选题符合时代背景，切合“互联网+儿童·生活·环境”的大赛主题，突出“互联网+”的特点，鼓励项目与现代信息技术手段相结合，与儿童教育密切相关。</w:t>
            </w:r>
          </w:p>
        </w:tc>
        <w:tc>
          <w:tcPr>
            <w:tcW w:w="1032" w:type="dxa"/>
            <w:tcBorders>
              <w:top w:val="single" w:color="auto" w:sz="8" w:space="0"/>
              <w:left w:val="single" w:color="auto" w:sz="8" w:space="0"/>
              <w:bottom w:val="single" w:color="auto" w:sz="8" w:space="0"/>
              <w:right w:val="single" w:color="auto" w:sz="8" w:space="0"/>
            </w:tcBorders>
            <w:shd w:val="clear" w:color="auto" w:fill="auto"/>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center"/>
              <w:textAlignment w:val="baseline"/>
              <w:rPr>
                <w:rFonts w:hint="eastAsia" w:ascii="仿宋" w:hAnsi="仿宋" w:eastAsia="仿宋" w:cs="仿宋"/>
                <w:b w:val="0"/>
                <w:bCs w:val="0"/>
                <w:color w:val="auto"/>
              </w:rPr>
            </w:pPr>
            <w:r>
              <w:rPr>
                <w:rFonts w:hint="eastAsia" w:ascii="仿宋" w:hAnsi="仿宋" w:eastAsia="仿宋" w:cs="仿宋"/>
                <w:b w:val="0"/>
                <w:bCs w:val="0"/>
                <w:i w:val="0"/>
                <w:iCs w:val="0"/>
                <w:caps w:val="0"/>
                <w:color w:val="auto"/>
                <w:spacing w:val="0"/>
                <w:sz w:val="24"/>
                <w:szCs w:val="24"/>
                <w:vertAlign w:val="baseline"/>
              </w:rPr>
              <w:t>0-15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812" w:type="dxa"/>
            <w:tcBorders>
              <w:top w:val="single" w:color="auto" w:sz="8" w:space="0"/>
              <w:left w:val="single" w:color="auto" w:sz="8" w:space="0"/>
              <w:bottom w:val="single" w:color="auto" w:sz="8" w:space="0"/>
              <w:right w:val="single" w:color="auto" w:sz="8" w:space="0"/>
            </w:tcBorders>
            <w:shd w:val="clear" w:color="auto" w:fill="auto"/>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center"/>
              <w:textAlignment w:val="baseline"/>
              <w:rPr>
                <w:rFonts w:hint="eastAsia" w:ascii="仿宋" w:hAnsi="仿宋" w:eastAsia="仿宋" w:cs="仿宋"/>
                <w:b w:val="0"/>
                <w:bCs w:val="0"/>
                <w:color w:val="auto"/>
              </w:rPr>
            </w:pPr>
            <w:r>
              <w:rPr>
                <w:rFonts w:hint="eastAsia" w:ascii="仿宋" w:hAnsi="仿宋" w:eastAsia="仿宋" w:cs="仿宋"/>
                <w:b w:val="0"/>
                <w:bCs w:val="0"/>
                <w:i w:val="0"/>
                <w:iCs w:val="0"/>
                <w:caps w:val="0"/>
                <w:color w:val="auto"/>
                <w:spacing w:val="0"/>
                <w:sz w:val="24"/>
                <w:szCs w:val="24"/>
                <w:vertAlign w:val="baseline"/>
              </w:rPr>
              <w:t>创新性</w:t>
            </w:r>
          </w:p>
        </w:tc>
        <w:tc>
          <w:tcPr>
            <w:tcW w:w="7476" w:type="dxa"/>
            <w:tcBorders>
              <w:top w:val="single" w:color="auto" w:sz="8" w:space="0"/>
              <w:left w:val="single" w:color="auto" w:sz="8" w:space="0"/>
              <w:bottom w:val="single" w:color="auto" w:sz="8" w:space="0"/>
              <w:right w:val="single" w:color="auto" w:sz="8" w:space="0"/>
            </w:tcBorders>
            <w:shd w:val="clear" w:color="auto" w:fill="auto"/>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textAlignment w:val="baseline"/>
              <w:rPr>
                <w:rFonts w:hint="eastAsia" w:ascii="仿宋" w:hAnsi="仿宋" w:eastAsia="仿宋" w:cs="仿宋"/>
                <w:b w:val="0"/>
                <w:bCs w:val="0"/>
                <w:color w:val="auto"/>
              </w:rPr>
            </w:pPr>
            <w:r>
              <w:rPr>
                <w:rFonts w:hint="eastAsia" w:ascii="仿宋" w:hAnsi="仿宋" w:eastAsia="仿宋" w:cs="仿宋"/>
                <w:b w:val="0"/>
                <w:bCs w:val="0"/>
                <w:i w:val="0"/>
                <w:iCs w:val="0"/>
                <w:caps w:val="0"/>
                <w:color w:val="auto"/>
                <w:spacing w:val="0"/>
                <w:sz w:val="24"/>
                <w:szCs w:val="24"/>
                <w:vertAlign w:val="baseline"/>
              </w:rPr>
              <w:t>突出儿童发展领域课程、模式、产品、资源等的创新与突破，不鼓励模仿，为儿童创设全新、开放、适宜发展的生态环境，为区域经济社会发展服务。</w:t>
            </w:r>
          </w:p>
        </w:tc>
        <w:tc>
          <w:tcPr>
            <w:tcW w:w="1032" w:type="dxa"/>
            <w:tcBorders>
              <w:top w:val="single" w:color="auto" w:sz="8" w:space="0"/>
              <w:left w:val="single" w:color="auto" w:sz="8" w:space="0"/>
              <w:bottom w:val="single" w:color="auto" w:sz="8" w:space="0"/>
              <w:right w:val="single" w:color="auto" w:sz="8" w:space="0"/>
            </w:tcBorders>
            <w:shd w:val="clear" w:color="auto" w:fill="auto"/>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center"/>
              <w:textAlignment w:val="baseline"/>
              <w:rPr>
                <w:rFonts w:hint="eastAsia" w:ascii="仿宋" w:hAnsi="仿宋" w:eastAsia="仿宋" w:cs="仿宋"/>
                <w:b w:val="0"/>
                <w:bCs w:val="0"/>
                <w:color w:val="auto"/>
              </w:rPr>
            </w:pPr>
            <w:r>
              <w:rPr>
                <w:rFonts w:hint="eastAsia" w:ascii="仿宋" w:hAnsi="仿宋" w:eastAsia="仿宋" w:cs="仿宋"/>
                <w:b w:val="0"/>
                <w:bCs w:val="0"/>
                <w:i w:val="0"/>
                <w:iCs w:val="0"/>
                <w:caps w:val="0"/>
                <w:color w:val="auto"/>
                <w:spacing w:val="0"/>
                <w:sz w:val="24"/>
                <w:szCs w:val="24"/>
                <w:vertAlign w:val="baseline"/>
              </w:rPr>
              <w:t>0-25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812" w:type="dxa"/>
            <w:tcBorders>
              <w:top w:val="single" w:color="auto" w:sz="8" w:space="0"/>
              <w:left w:val="single" w:color="auto" w:sz="8" w:space="0"/>
              <w:bottom w:val="single" w:color="auto" w:sz="8" w:space="0"/>
              <w:right w:val="single" w:color="auto" w:sz="8" w:space="0"/>
            </w:tcBorders>
            <w:shd w:val="clear" w:color="auto" w:fill="auto"/>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center"/>
              <w:textAlignment w:val="baseline"/>
              <w:rPr>
                <w:rFonts w:hint="eastAsia" w:ascii="仿宋" w:hAnsi="仿宋" w:eastAsia="仿宋" w:cs="仿宋"/>
                <w:b w:val="0"/>
                <w:bCs w:val="0"/>
                <w:color w:val="auto"/>
              </w:rPr>
            </w:pPr>
            <w:r>
              <w:rPr>
                <w:rFonts w:hint="eastAsia" w:ascii="仿宋" w:hAnsi="仿宋" w:eastAsia="仿宋" w:cs="仿宋"/>
                <w:b w:val="0"/>
                <w:bCs w:val="0"/>
                <w:i w:val="0"/>
                <w:iCs w:val="0"/>
                <w:caps w:val="0"/>
                <w:color w:val="auto"/>
                <w:spacing w:val="0"/>
                <w:sz w:val="24"/>
                <w:szCs w:val="24"/>
                <w:vertAlign w:val="baseline"/>
              </w:rPr>
              <w:t>内容设计</w:t>
            </w:r>
          </w:p>
        </w:tc>
        <w:tc>
          <w:tcPr>
            <w:tcW w:w="7476" w:type="dxa"/>
            <w:tcBorders>
              <w:top w:val="single" w:color="auto" w:sz="8" w:space="0"/>
              <w:left w:val="single" w:color="auto" w:sz="8" w:space="0"/>
              <w:bottom w:val="single" w:color="auto" w:sz="8" w:space="0"/>
              <w:right w:val="single" w:color="auto" w:sz="8" w:space="0"/>
            </w:tcBorders>
            <w:shd w:val="clear" w:color="auto" w:fill="auto"/>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textAlignment w:val="baseline"/>
              <w:rPr>
                <w:rFonts w:hint="eastAsia" w:ascii="仿宋" w:hAnsi="仿宋" w:eastAsia="仿宋" w:cs="仿宋"/>
                <w:b w:val="0"/>
                <w:bCs w:val="0"/>
                <w:color w:val="auto"/>
              </w:rPr>
            </w:pPr>
            <w:r>
              <w:rPr>
                <w:rFonts w:hint="eastAsia" w:ascii="仿宋" w:hAnsi="仿宋" w:eastAsia="仿宋" w:cs="仿宋"/>
                <w:b w:val="0"/>
                <w:bCs w:val="0"/>
                <w:i w:val="0"/>
                <w:iCs w:val="0"/>
                <w:caps w:val="0"/>
                <w:color w:val="auto"/>
                <w:spacing w:val="0"/>
                <w:sz w:val="24"/>
                <w:szCs w:val="24"/>
                <w:vertAlign w:val="baseline"/>
              </w:rPr>
              <w:t>目标明确，论证充分、严谨。内容充实，结构完整，思路清楚。</w:t>
            </w:r>
          </w:p>
        </w:tc>
        <w:tc>
          <w:tcPr>
            <w:tcW w:w="1032" w:type="dxa"/>
            <w:tcBorders>
              <w:top w:val="single" w:color="auto" w:sz="8" w:space="0"/>
              <w:left w:val="single" w:color="auto" w:sz="8" w:space="0"/>
              <w:bottom w:val="single" w:color="auto" w:sz="8" w:space="0"/>
              <w:right w:val="single" w:color="auto" w:sz="8" w:space="0"/>
            </w:tcBorders>
            <w:shd w:val="clear" w:color="auto" w:fill="auto"/>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center"/>
              <w:textAlignment w:val="baseline"/>
              <w:rPr>
                <w:rFonts w:hint="eastAsia" w:ascii="仿宋" w:hAnsi="仿宋" w:eastAsia="仿宋" w:cs="仿宋"/>
                <w:b w:val="0"/>
                <w:bCs w:val="0"/>
                <w:color w:val="auto"/>
              </w:rPr>
            </w:pPr>
            <w:r>
              <w:rPr>
                <w:rFonts w:hint="eastAsia" w:ascii="仿宋" w:hAnsi="仿宋" w:eastAsia="仿宋" w:cs="仿宋"/>
                <w:b w:val="0"/>
                <w:bCs w:val="0"/>
                <w:i w:val="0"/>
                <w:iCs w:val="0"/>
                <w:caps w:val="0"/>
                <w:color w:val="auto"/>
                <w:spacing w:val="0"/>
                <w:sz w:val="24"/>
                <w:szCs w:val="24"/>
                <w:vertAlign w:val="baseline"/>
              </w:rPr>
              <w:t>0-15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812" w:type="dxa"/>
            <w:tcBorders>
              <w:top w:val="single" w:color="auto" w:sz="8" w:space="0"/>
              <w:left w:val="single" w:color="auto" w:sz="8" w:space="0"/>
              <w:bottom w:val="single" w:color="auto" w:sz="8" w:space="0"/>
              <w:right w:val="single" w:color="auto" w:sz="8" w:space="0"/>
            </w:tcBorders>
            <w:shd w:val="clear" w:color="auto" w:fill="auto"/>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center"/>
              <w:textAlignment w:val="baseline"/>
              <w:rPr>
                <w:rFonts w:hint="eastAsia" w:ascii="仿宋" w:hAnsi="仿宋" w:eastAsia="仿宋" w:cs="仿宋"/>
                <w:b w:val="0"/>
                <w:bCs w:val="0"/>
                <w:color w:val="auto"/>
              </w:rPr>
            </w:pPr>
            <w:r>
              <w:rPr>
                <w:rFonts w:hint="eastAsia" w:ascii="仿宋" w:hAnsi="仿宋" w:eastAsia="仿宋" w:cs="仿宋"/>
                <w:b w:val="0"/>
                <w:bCs w:val="0"/>
                <w:i w:val="0"/>
                <w:iCs w:val="0"/>
                <w:caps w:val="0"/>
                <w:color w:val="auto"/>
                <w:spacing w:val="0"/>
                <w:sz w:val="24"/>
                <w:szCs w:val="24"/>
                <w:vertAlign w:val="baseline"/>
              </w:rPr>
              <w:t>团队情况</w:t>
            </w:r>
          </w:p>
        </w:tc>
        <w:tc>
          <w:tcPr>
            <w:tcW w:w="7476" w:type="dxa"/>
            <w:tcBorders>
              <w:top w:val="single" w:color="auto" w:sz="8" w:space="0"/>
              <w:left w:val="single" w:color="auto" w:sz="8" w:space="0"/>
              <w:bottom w:val="single" w:color="auto" w:sz="8" w:space="0"/>
              <w:right w:val="single" w:color="auto" w:sz="8" w:space="0"/>
            </w:tcBorders>
            <w:shd w:val="clear" w:color="auto" w:fill="auto"/>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textAlignment w:val="baseline"/>
              <w:rPr>
                <w:rFonts w:hint="eastAsia" w:ascii="仿宋" w:hAnsi="仿宋" w:eastAsia="仿宋" w:cs="仿宋"/>
                <w:b w:val="0"/>
                <w:bCs w:val="0"/>
                <w:color w:val="auto"/>
              </w:rPr>
            </w:pPr>
            <w:r>
              <w:rPr>
                <w:rFonts w:hint="eastAsia" w:ascii="仿宋" w:hAnsi="仿宋" w:eastAsia="仿宋" w:cs="仿宋"/>
                <w:b w:val="0"/>
                <w:bCs w:val="0"/>
                <w:i w:val="0"/>
                <w:iCs w:val="0"/>
                <w:caps w:val="0"/>
                <w:color w:val="auto"/>
                <w:spacing w:val="0"/>
                <w:sz w:val="24"/>
                <w:szCs w:val="24"/>
                <w:vertAlign w:val="baseline"/>
              </w:rPr>
              <w:t>团队成员的专业背景、创新思想、价值观念、分工协作和能力互补情况，重点考察成员的投入程度。指导教师、创新创业顾问、行业专家、潜在投资人等外部资源的使用计划和有关情况。</w:t>
            </w:r>
          </w:p>
        </w:tc>
        <w:tc>
          <w:tcPr>
            <w:tcW w:w="1032" w:type="dxa"/>
            <w:tcBorders>
              <w:top w:val="single" w:color="auto" w:sz="8" w:space="0"/>
              <w:left w:val="single" w:color="auto" w:sz="8" w:space="0"/>
              <w:bottom w:val="single" w:color="auto" w:sz="8" w:space="0"/>
              <w:right w:val="single" w:color="auto" w:sz="8" w:space="0"/>
            </w:tcBorders>
            <w:shd w:val="clear" w:color="auto" w:fill="auto"/>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center"/>
              <w:textAlignment w:val="baseline"/>
              <w:rPr>
                <w:rFonts w:hint="eastAsia" w:ascii="仿宋" w:hAnsi="仿宋" w:eastAsia="仿宋" w:cs="仿宋"/>
                <w:b w:val="0"/>
                <w:bCs w:val="0"/>
                <w:color w:val="auto"/>
              </w:rPr>
            </w:pPr>
            <w:r>
              <w:rPr>
                <w:rFonts w:hint="eastAsia" w:ascii="仿宋" w:hAnsi="仿宋" w:eastAsia="仿宋" w:cs="仿宋"/>
                <w:b w:val="0"/>
                <w:bCs w:val="0"/>
                <w:i w:val="0"/>
                <w:iCs w:val="0"/>
                <w:caps w:val="0"/>
                <w:color w:val="auto"/>
                <w:spacing w:val="0"/>
                <w:sz w:val="24"/>
                <w:szCs w:val="24"/>
                <w:vertAlign w:val="baseline"/>
              </w:rPr>
              <w:t>0-15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812" w:type="dxa"/>
            <w:tcBorders>
              <w:top w:val="single" w:color="auto" w:sz="8" w:space="0"/>
              <w:left w:val="single" w:color="auto" w:sz="8" w:space="0"/>
              <w:bottom w:val="single" w:color="auto" w:sz="8" w:space="0"/>
              <w:right w:val="single" w:color="auto" w:sz="8" w:space="0"/>
            </w:tcBorders>
            <w:shd w:val="clear" w:color="auto" w:fill="auto"/>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center"/>
              <w:textAlignment w:val="baseline"/>
              <w:rPr>
                <w:rFonts w:hint="eastAsia" w:ascii="仿宋" w:hAnsi="仿宋" w:eastAsia="仿宋" w:cs="仿宋"/>
                <w:b w:val="0"/>
                <w:bCs w:val="0"/>
                <w:color w:val="auto"/>
              </w:rPr>
            </w:pPr>
            <w:r>
              <w:rPr>
                <w:rFonts w:hint="eastAsia" w:ascii="仿宋" w:hAnsi="仿宋" w:eastAsia="仿宋" w:cs="仿宋"/>
                <w:b w:val="0"/>
                <w:bCs w:val="0"/>
                <w:i w:val="0"/>
                <w:iCs w:val="0"/>
                <w:caps w:val="0"/>
                <w:color w:val="auto"/>
                <w:spacing w:val="0"/>
                <w:sz w:val="24"/>
                <w:szCs w:val="24"/>
                <w:vertAlign w:val="baseline"/>
              </w:rPr>
              <w:t>成长性</w:t>
            </w:r>
          </w:p>
        </w:tc>
        <w:tc>
          <w:tcPr>
            <w:tcW w:w="7476" w:type="dxa"/>
            <w:tcBorders>
              <w:top w:val="single" w:color="auto" w:sz="8" w:space="0"/>
              <w:left w:val="single" w:color="auto" w:sz="8" w:space="0"/>
              <w:bottom w:val="single" w:color="auto" w:sz="8" w:space="0"/>
              <w:right w:val="single" w:color="auto" w:sz="8" w:space="0"/>
            </w:tcBorders>
            <w:shd w:val="clear" w:color="auto" w:fill="auto"/>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textAlignment w:val="baseline"/>
              <w:rPr>
                <w:rFonts w:hint="eastAsia" w:ascii="仿宋" w:hAnsi="仿宋" w:eastAsia="仿宋" w:cs="仿宋"/>
                <w:b w:val="0"/>
                <w:bCs w:val="0"/>
                <w:color w:val="auto"/>
              </w:rPr>
            </w:pPr>
            <w:r>
              <w:rPr>
                <w:rFonts w:hint="eastAsia" w:ascii="仿宋" w:hAnsi="仿宋" w:eastAsia="仿宋" w:cs="仿宋"/>
                <w:b w:val="0"/>
                <w:bCs w:val="0"/>
                <w:i w:val="0"/>
                <w:iCs w:val="0"/>
                <w:caps w:val="0"/>
                <w:color w:val="auto"/>
                <w:spacing w:val="0"/>
                <w:sz w:val="24"/>
                <w:szCs w:val="24"/>
                <w:vertAlign w:val="baseline"/>
              </w:rPr>
              <w:t>行业调查研究深入、详实，项目实施方案完整、可行。项目分析客观，具有一定的市场前景和推广价值。</w:t>
            </w:r>
          </w:p>
        </w:tc>
        <w:tc>
          <w:tcPr>
            <w:tcW w:w="1032" w:type="dxa"/>
            <w:tcBorders>
              <w:top w:val="single" w:color="auto" w:sz="8" w:space="0"/>
              <w:left w:val="single" w:color="auto" w:sz="8" w:space="0"/>
              <w:bottom w:val="single" w:color="auto" w:sz="8" w:space="0"/>
              <w:right w:val="single" w:color="auto" w:sz="8" w:space="0"/>
            </w:tcBorders>
            <w:shd w:val="clear" w:color="auto" w:fill="auto"/>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center"/>
              <w:textAlignment w:val="baseline"/>
              <w:rPr>
                <w:rFonts w:hint="eastAsia" w:ascii="仿宋" w:hAnsi="仿宋" w:eastAsia="仿宋" w:cs="仿宋"/>
                <w:b w:val="0"/>
                <w:bCs w:val="0"/>
                <w:color w:val="auto"/>
              </w:rPr>
            </w:pPr>
            <w:r>
              <w:rPr>
                <w:rFonts w:hint="eastAsia" w:ascii="仿宋" w:hAnsi="仿宋" w:eastAsia="仿宋" w:cs="仿宋"/>
                <w:b w:val="0"/>
                <w:bCs w:val="0"/>
                <w:i w:val="0"/>
                <w:iCs w:val="0"/>
                <w:caps w:val="0"/>
                <w:color w:val="auto"/>
                <w:spacing w:val="0"/>
                <w:sz w:val="24"/>
                <w:szCs w:val="24"/>
                <w:vertAlign w:val="baseline"/>
              </w:rPr>
              <w:t>0-20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812" w:type="dxa"/>
            <w:tcBorders>
              <w:top w:val="single" w:color="auto" w:sz="8" w:space="0"/>
              <w:left w:val="single" w:color="auto" w:sz="8" w:space="0"/>
              <w:bottom w:val="single" w:color="auto" w:sz="8" w:space="0"/>
              <w:right w:val="single" w:color="auto" w:sz="8" w:space="0"/>
            </w:tcBorders>
            <w:shd w:val="clear" w:color="auto" w:fill="auto"/>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center"/>
              <w:textAlignment w:val="baseline"/>
              <w:rPr>
                <w:rFonts w:hint="default" w:ascii="仿宋" w:hAnsi="仿宋" w:eastAsia="仿宋" w:cs="仿宋"/>
                <w:b w:val="0"/>
                <w:bCs w:val="0"/>
                <w:color w:val="auto"/>
                <w:lang w:val="en-US" w:eastAsia="zh-CN"/>
              </w:rPr>
            </w:pPr>
            <w:r>
              <w:rPr>
                <w:rFonts w:hint="eastAsia" w:ascii="仿宋" w:hAnsi="仿宋" w:eastAsia="仿宋" w:cs="仿宋"/>
                <w:b w:val="0"/>
                <w:bCs w:val="0"/>
                <w:i w:val="0"/>
                <w:iCs w:val="0"/>
                <w:caps w:val="0"/>
                <w:color w:val="auto"/>
                <w:spacing w:val="0"/>
                <w:sz w:val="24"/>
                <w:szCs w:val="24"/>
                <w:vertAlign w:val="baseline"/>
              </w:rPr>
              <w:t>答辩水平</w:t>
            </w:r>
            <w:r>
              <w:rPr>
                <w:rFonts w:hint="eastAsia" w:ascii="仿宋" w:hAnsi="仿宋" w:eastAsia="仿宋" w:cs="仿宋"/>
                <w:b w:val="0"/>
                <w:bCs w:val="0"/>
                <w:i w:val="0"/>
                <w:iCs w:val="0"/>
                <w:caps w:val="0"/>
                <w:color w:val="auto"/>
                <w:spacing w:val="0"/>
                <w:sz w:val="24"/>
                <w:szCs w:val="24"/>
                <w:vertAlign w:val="baseline"/>
                <w:lang w:eastAsia="zh-CN"/>
              </w:rPr>
              <w:t>（</w:t>
            </w:r>
            <w:r>
              <w:rPr>
                <w:rFonts w:hint="eastAsia" w:ascii="仿宋" w:hAnsi="仿宋" w:eastAsia="仿宋" w:cs="仿宋"/>
                <w:b w:val="0"/>
                <w:bCs w:val="0"/>
                <w:i w:val="0"/>
                <w:iCs w:val="0"/>
                <w:caps w:val="0"/>
                <w:color w:val="auto"/>
                <w:spacing w:val="0"/>
                <w:sz w:val="24"/>
                <w:szCs w:val="24"/>
                <w:vertAlign w:val="baseline"/>
                <w:lang w:val="en-US" w:eastAsia="zh-CN"/>
              </w:rPr>
              <w:t>进入省赛阶段）</w:t>
            </w:r>
          </w:p>
        </w:tc>
        <w:tc>
          <w:tcPr>
            <w:tcW w:w="7476" w:type="dxa"/>
            <w:tcBorders>
              <w:top w:val="single" w:color="auto" w:sz="8" w:space="0"/>
              <w:left w:val="single" w:color="auto" w:sz="8" w:space="0"/>
              <w:bottom w:val="single" w:color="auto" w:sz="8" w:space="0"/>
              <w:right w:val="single" w:color="auto" w:sz="8" w:space="0"/>
            </w:tcBorders>
            <w:shd w:val="clear" w:color="auto" w:fill="auto"/>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textAlignment w:val="baseline"/>
              <w:rPr>
                <w:rFonts w:hint="eastAsia" w:ascii="仿宋" w:hAnsi="仿宋" w:eastAsia="仿宋" w:cs="仿宋"/>
                <w:b w:val="0"/>
                <w:bCs w:val="0"/>
                <w:color w:val="auto"/>
              </w:rPr>
            </w:pPr>
            <w:r>
              <w:rPr>
                <w:rFonts w:hint="eastAsia" w:ascii="仿宋" w:hAnsi="仿宋" w:eastAsia="仿宋" w:cs="仿宋"/>
                <w:b w:val="0"/>
                <w:bCs w:val="0"/>
                <w:i w:val="0"/>
                <w:iCs w:val="0"/>
                <w:caps w:val="0"/>
                <w:color w:val="auto"/>
                <w:spacing w:val="0"/>
                <w:sz w:val="24"/>
                <w:szCs w:val="24"/>
                <w:vertAlign w:val="baseline"/>
              </w:rPr>
              <w:t>遵守比赛规则，准备充分。思路清晰，表达流畅，突出项目核心优势。</w:t>
            </w:r>
          </w:p>
        </w:tc>
        <w:tc>
          <w:tcPr>
            <w:tcW w:w="1032" w:type="dxa"/>
            <w:tcBorders>
              <w:top w:val="single" w:color="auto" w:sz="8" w:space="0"/>
              <w:left w:val="single" w:color="auto" w:sz="8" w:space="0"/>
              <w:bottom w:val="single" w:color="auto" w:sz="8" w:space="0"/>
              <w:right w:val="single" w:color="auto" w:sz="8" w:space="0"/>
            </w:tcBorders>
            <w:shd w:val="clear" w:color="auto" w:fill="auto"/>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center"/>
              <w:textAlignment w:val="baseline"/>
              <w:rPr>
                <w:rFonts w:hint="eastAsia" w:ascii="仿宋" w:hAnsi="仿宋" w:eastAsia="仿宋" w:cs="仿宋"/>
                <w:b w:val="0"/>
                <w:bCs w:val="0"/>
                <w:color w:val="auto"/>
              </w:rPr>
            </w:pPr>
            <w:r>
              <w:rPr>
                <w:rFonts w:hint="eastAsia" w:ascii="仿宋" w:hAnsi="仿宋" w:eastAsia="仿宋" w:cs="仿宋"/>
                <w:b w:val="0"/>
                <w:bCs w:val="0"/>
                <w:i w:val="0"/>
                <w:iCs w:val="0"/>
                <w:caps w:val="0"/>
                <w:color w:val="auto"/>
                <w:spacing w:val="0"/>
                <w:sz w:val="24"/>
                <w:szCs w:val="24"/>
                <w:vertAlign w:val="baseline"/>
              </w:rPr>
              <w:t>0-10</w:t>
            </w:r>
          </w:p>
        </w:tc>
      </w:tr>
    </w:tbl>
    <w:p>
      <w:pPr>
        <w:spacing w:line="560" w:lineRule="exact"/>
        <w:ind w:left="0" w:leftChars="0" w:firstLine="0" w:firstLineChars="0"/>
        <w:rPr>
          <w:rFonts w:hint="eastAsia" w:ascii="仿宋" w:hAnsi="仿宋" w:eastAsia="仿宋"/>
          <w:b/>
          <w:sz w:val="32"/>
          <w:szCs w:val="32"/>
        </w:rPr>
      </w:pPr>
    </w:p>
    <w:p>
      <w:pPr>
        <w:spacing w:line="560" w:lineRule="exact"/>
        <w:ind w:firstLine="643"/>
        <w:rPr>
          <w:rFonts w:ascii="仿宋" w:hAnsi="仿宋" w:eastAsia="仿宋"/>
          <w:b/>
          <w:sz w:val="32"/>
          <w:szCs w:val="32"/>
        </w:rPr>
      </w:pPr>
      <w:r>
        <w:rPr>
          <w:rFonts w:hint="eastAsia" w:ascii="仿宋" w:hAnsi="仿宋" w:eastAsia="仿宋"/>
          <w:b/>
          <w:sz w:val="32"/>
          <w:szCs w:val="32"/>
        </w:rPr>
        <w:t>（三）奖项设置</w:t>
      </w:r>
    </w:p>
    <w:p>
      <w:pPr>
        <w:ind w:firstLine="640"/>
        <w:rPr>
          <w:rFonts w:ascii="仿宋" w:hAnsi="仿宋" w:eastAsia="仿宋"/>
          <w:sz w:val="32"/>
          <w:szCs w:val="32"/>
        </w:rPr>
      </w:pPr>
      <w:r>
        <w:rPr>
          <w:rFonts w:hint="eastAsia" w:ascii="仿宋" w:hAnsi="仿宋" w:eastAsia="仿宋"/>
          <w:sz w:val="32"/>
          <w:szCs w:val="32"/>
        </w:rPr>
        <w:t>根据竞赛成绩，从高到低排序，按参赛人数（组）的10%设一等奖，20%设二等奖，30%设三等奖。由辽宁理工学院颁发获奖证书，并获得相应的创新学分。</w:t>
      </w:r>
    </w:p>
    <w:p>
      <w:pPr>
        <w:spacing w:line="560" w:lineRule="exact"/>
        <w:ind w:firstLine="643"/>
        <w:rPr>
          <w:rFonts w:ascii="仿宋" w:hAnsi="仿宋" w:eastAsia="仿宋"/>
          <w:b/>
          <w:sz w:val="32"/>
          <w:szCs w:val="32"/>
        </w:rPr>
      </w:pPr>
      <w:r>
        <w:rPr>
          <w:rFonts w:hint="eastAsia" w:ascii="仿宋" w:hAnsi="仿宋" w:eastAsia="仿宋"/>
          <w:b/>
          <w:sz w:val="32"/>
          <w:szCs w:val="32"/>
        </w:rPr>
        <w:t>（四）申诉与仲裁</w:t>
      </w:r>
    </w:p>
    <w:p>
      <w:pPr>
        <w:spacing w:line="560" w:lineRule="exact"/>
        <w:ind w:firstLine="640"/>
        <w:rPr>
          <w:rFonts w:ascii="仿宋" w:hAnsi="仿宋" w:eastAsia="仿宋"/>
          <w:sz w:val="32"/>
          <w:szCs w:val="32"/>
        </w:rPr>
      </w:pPr>
      <w:r>
        <w:rPr>
          <w:rFonts w:hint="eastAsia" w:ascii="仿宋" w:hAnsi="仿宋" w:eastAsia="仿宋"/>
          <w:sz w:val="32"/>
          <w:szCs w:val="32"/>
        </w:rPr>
        <w:t>选手有权对评审结果提出异议，辽宁理工学院</w:t>
      </w:r>
      <w:r>
        <w:rPr>
          <w:rFonts w:hint="eastAsia" w:ascii="仿宋" w:hAnsi="仿宋" w:eastAsia="仿宋"/>
          <w:sz w:val="32"/>
          <w:szCs w:val="32"/>
          <w:lang w:val="en-US" w:eastAsia="zh-CN"/>
        </w:rPr>
        <w:t>管理工程学院风景园林教研室</w:t>
      </w:r>
      <w:r>
        <w:rPr>
          <w:rFonts w:hint="eastAsia" w:ascii="仿宋" w:hAnsi="仿宋" w:eastAsia="仿宋"/>
          <w:sz w:val="32"/>
          <w:szCs w:val="32"/>
        </w:rPr>
        <w:t>拥有此次大赛的解释权。</w:t>
      </w:r>
    </w:p>
    <w:p>
      <w:pPr>
        <w:spacing w:line="560" w:lineRule="exact"/>
        <w:ind w:firstLine="643"/>
        <w:rPr>
          <w:rFonts w:ascii="仿宋" w:hAnsi="仿宋" w:eastAsia="仿宋"/>
          <w:b/>
          <w:sz w:val="32"/>
          <w:szCs w:val="32"/>
        </w:rPr>
      </w:pPr>
      <w:r>
        <w:rPr>
          <w:rFonts w:hint="eastAsia" w:ascii="仿宋" w:hAnsi="仿宋" w:eastAsia="仿宋"/>
          <w:b/>
          <w:sz w:val="32"/>
          <w:szCs w:val="32"/>
        </w:rPr>
        <w:t>（五）竞赛结果公示</w:t>
      </w:r>
    </w:p>
    <w:p>
      <w:pPr>
        <w:spacing w:line="560" w:lineRule="exact"/>
        <w:ind w:firstLine="640"/>
        <w:rPr>
          <w:rFonts w:ascii="仿宋" w:hAnsi="仿宋" w:eastAsia="仿宋"/>
          <w:sz w:val="32"/>
          <w:szCs w:val="32"/>
        </w:rPr>
      </w:pPr>
      <w:r>
        <w:rPr>
          <w:rFonts w:hint="eastAsia" w:ascii="仿宋" w:hAnsi="仿宋" w:eastAsia="仿宋"/>
          <w:sz w:val="32"/>
          <w:szCs w:val="32"/>
        </w:rPr>
        <w:t>结果及成绩排名于学校官网公示。</w:t>
      </w:r>
    </w:p>
    <w:p>
      <w:pPr>
        <w:spacing w:line="560" w:lineRule="exact"/>
        <w:ind w:firstLine="640"/>
        <w:rPr>
          <w:rFonts w:ascii="黑体" w:hAnsi="黑体" w:eastAsia="黑体"/>
          <w:sz w:val="32"/>
          <w:szCs w:val="32"/>
        </w:rPr>
      </w:pPr>
      <w:r>
        <w:rPr>
          <w:rFonts w:hint="eastAsia" w:ascii="黑体" w:hAnsi="黑体" w:eastAsia="黑体"/>
          <w:sz w:val="32"/>
          <w:szCs w:val="32"/>
        </w:rPr>
        <w:t>四、其他</w:t>
      </w:r>
    </w:p>
    <w:p>
      <w:pPr>
        <w:spacing w:line="560" w:lineRule="exact"/>
        <w:ind w:firstLine="643"/>
        <w:rPr>
          <w:rFonts w:ascii="仿宋" w:hAnsi="仿宋" w:eastAsia="仿宋"/>
          <w:b/>
          <w:sz w:val="32"/>
          <w:szCs w:val="32"/>
        </w:rPr>
      </w:pPr>
      <w:r>
        <w:rPr>
          <w:rFonts w:hint="eastAsia" w:ascii="仿宋" w:hAnsi="仿宋" w:eastAsia="仿宋"/>
          <w:b/>
          <w:sz w:val="32"/>
          <w:szCs w:val="32"/>
        </w:rPr>
        <w:t>（一）联系人及联系方式</w:t>
      </w:r>
    </w:p>
    <w:p>
      <w:pPr>
        <w:spacing w:line="560" w:lineRule="exact"/>
        <w:ind w:firstLine="960" w:firstLineChars="300"/>
        <w:rPr>
          <w:rFonts w:ascii="仿宋" w:hAnsi="仿宋" w:eastAsia="仿宋"/>
          <w:sz w:val="32"/>
          <w:szCs w:val="32"/>
        </w:rPr>
      </w:pPr>
      <w:r>
        <w:rPr>
          <w:rFonts w:hint="eastAsia" w:ascii="仿宋" w:hAnsi="仿宋" w:eastAsia="仿宋"/>
          <w:sz w:val="32"/>
          <w:szCs w:val="32"/>
          <w:lang w:val="en-US" w:eastAsia="zh-CN"/>
        </w:rPr>
        <w:t>杨思莹</w:t>
      </w:r>
      <w:r>
        <w:rPr>
          <w:rFonts w:hint="eastAsia" w:ascii="仿宋" w:hAnsi="仿宋" w:eastAsia="仿宋"/>
          <w:sz w:val="32"/>
          <w:szCs w:val="32"/>
        </w:rPr>
        <w:t>：1</w:t>
      </w:r>
      <w:r>
        <w:rPr>
          <w:rFonts w:ascii="仿宋" w:hAnsi="仿宋" w:eastAsia="仿宋"/>
          <w:sz w:val="32"/>
          <w:szCs w:val="32"/>
        </w:rPr>
        <w:t>8817335926</w:t>
      </w:r>
    </w:p>
    <w:p>
      <w:pPr>
        <w:spacing w:line="360" w:lineRule="auto"/>
        <w:ind w:firstLine="960" w:firstLineChars="300"/>
        <w:rPr>
          <w:rFonts w:ascii="仿宋" w:hAnsi="仿宋" w:eastAsia="仿宋"/>
          <w:sz w:val="32"/>
          <w:szCs w:val="32"/>
        </w:rPr>
      </w:pPr>
      <w:r>
        <w:rPr>
          <w:rFonts w:hint="eastAsia" w:ascii="仿宋_GB2312" w:hAnsi="楷体" w:eastAsia="仿宋_GB2312" w:cs="宋体"/>
          <w:color w:val="000000"/>
          <w:kern w:val="0"/>
          <w:sz w:val="32"/>
          <w:szCs w:val="32"/>
          <w:lang w:val="en-US" w:eastAsia="zh-CN"/>
        </w:rPr>
        <w:t>为方便后续沟通交流，请参赛学生添加校赛联络qq群：638712329</w:t>
      </w:r>
    </w:p>
    <w:p>
      <w:pPr>
        <w:numPr>
          <w:ilvl w:val="0"/>
          <w:numId w:val="1"/>
        </w:numPr>
        <w:spacing w:line="560" w:lineRule="exact"/>
        <w:ind w:firstLine="643"/>
        <w:rPr>
          <w:rFonts w:hint="eastAsia" w:ascii="仿宋" w:hAnsi="仿宋" w:eastAsia="仿宋"/>
          <w:b/>
          <w:sz w:val="32"/>
          <w:szCs w:val="32"/>
        </w:rPr>
      </w:pPr>
      <w:r>
        <w:rPr>
          <w:rFonts w:hint="eastAsia" w:ascii="仿宋" w:hAnsi="仿宋" w:eastAsia="仿宋"/>
          <w:b/>
          <w:sz w:val="32"/>
          <w:szCs w:val="32"/>
        </w:rPr>
        <w:t>选手须知</w:t>
      </w:r>
    </w:p>
    <w:p>
      <w:pPr>
        <w:numPr>
          <w:ilvl w:val="0"/>
          <w:numId w:val="0"/>
        </w:numPr>
        <w:spacing w:line="560" w:lineRule="exact"/>
        <w:ind w:firstLine="640" w:firstLineChars="200"/>
        <w:rPr>
          <w:rFonts w:hint="eastAsia" w:ascii="仿宋" w:hAnsi="仿宋" w:eastAsia="仿宋"/>
          <w:b/>
          <w:sz w:val="32"/>
          <w:szCs w:val="32"/>
        </w:rPr>
      </w:pPr>
      <w:r>
        <w:rPr>
          <w:rFonts w:hint="eastAsia" w:ascii="仿宋" w:hAnsi="仿宋" w:eastAsia="仿宋"/>
          <w:sz w:val="32"/>
          <w:szCs w:val="32"/>
          <w:lang w:val="en-US" w:eastAsia="zh-CN"/>
        </w:rPr>
        <w:t>作品投送电子版及纸质版要求：</w:t>
      </w:r>
    </w:p>
    <w:p>
      <w:pPr>
        <w:spacing w:line="360" w:lineRule="auto"/>
        <w:ind w:firstLine="640"/>
        <w:rPr>
          <w:rFonts w:hint="eastAsia" w:ascii="仿宋" w:hAnsi="仿宋" w:eastAsia="仿宋"/>
          <w:sz w:val="32"/>
          <w:szCs w:val="32"/>
          <w:lang w:val="en-US" w:eastAsia="zh-CN"/>
        </w:rPr>
      </w:pPr>
      <w:r>
        <w:rPr>
          <w:rFonts w:hint="eastAsia" w:ascii="仿宋" w:hAnsi="仿宋" w:eastAsia="仿宋"/>
          <w:sz w:val="32"/>
          <w:szCs w:val="32"/>
          <w:lang w:val="en-US" w:eastAsia="zh-CN"/>
        </w:rPr>
        <w:t>①参加团队请将报名表、参赛作品等发至邮箱：</w:t>
      </w:r>
      <w:r>
        <w:rPr>
          <w:rFonts w:hint="eastAsia" w:ascii="仿宋" w:hAnsi="仿宋" w:eastAsia="仿宋"/>
          <w:sz w:val="32"/>
          <w:szCs w:val="32"/>
          <w:lang w:val="en-US" w:eastAsia="zh-CN"/>
        </w:rPr>
        <w:fldChar w:fldCharType="begin"/>
      </w:r>
      <w:r>
        <w:rPr>
          <w:rFonts w:hint="eastAsia" w:ascii="仿宋" w:hAnsi="仿宋" w:eastAsia="仿宋"/>
          <w:sz w:val="32"/>
          <w:szCs w:val="32"/>
          <w:lang w:val="en-US" w:eastAsia="zh-CN"/>
        </w:rPr>
        <w:instrText xml:space="preserve"> HYPERLINK "mailto:1697531774@qq.com;" </w:instrText>
      </w:r>
      <w:r>
        <w:rPr>
          <w:rFonts w:hint="eastAsia" w:ascii="仿宋" w:hAnsi="仿宋" w:eastAsia="仿宋"/>
          <w:sz w:val="32"/>
          <w:szCs w:val="32"/>
          <w:lang w:val="en-US" w:eastAsia="zh-CN"/>
        </w:rPr>
        <w:fldChar w:fldCharType="separate"/>
      </w:r>
      <w:r>
        <w:rPr>
          <w:rStyle w:val="9"/>
          <w:rFonts w:hint="eastAsia" w:ascii="仿宋" w:hAnsi="仿宋" w:eastAsia="仿宋"/>
          <w:sz w:val="32"/>
          <w:szCs w:val="32"/>
          <w:lang w:val="en-US" w:eastAsia="zh-CN"/>
        </w:rPr>
        <w:t>1697531774@qq.com;</w:t>
      </w:r>
      <w:r>
        <w:rPr>
          <w:rFonts w:hint="eastAsia" w:ascii="仿宋" w:hAnsi="仿宋" w:eastAsia="仿宋"/>
          <w:sz w:val="32"/>
          <w:szCs w:val="32"/>
          <w:lang w:val="en-US" w:eastAsia="zh-CN"/>
        </w:rPr>
        <w:fldChar w:fldCharType="end"/>
      </w:r>
    </w:p>
    <w:p>
      <w:pPr>
        <w:widowControl/>
        <w:numPr>
          <w:ilvl w:val="0"/>
          <w:numId w:val="0"/>
        </w:numPr>
        <w:spacing w:line="360" w:lineRule="auto"/>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②松山校区：纸质版于</w:t>
      </w:r>
      <w:r>
        <w:rPr>
          <w:rFonts w:hint="eastAsia" w:ascii="仿宋_GB2312" w:hAnsi="楷体" w:eastAsia="仿宋_GB2312" w:cs="宋体"/>
          <w:color w:val="000000"/>
          <w:kern w:val="0"/>
          <w:sz w:val="32"/>
          <w:szCs w:val="32"/>
          <w:lang w:val="en-US" w:eastAsia="zh-CN"/>
        </w:rPr>
        <w:t>2024年5月29日-2024年5月31日</w:t>
      </w:r>
      <w:r>
        <w:rPr>
          <w:rFonts w:hint="eastAsia" w:ascii="仿宋" w:hAnsi="仿宋" w:eastAsia="仿宋"/>
          <w:sz w:val="32"/>
          <w:szCs w:val="32"/>
          <w:lang w:val="en-US" w:eastAsia="zh-CN"/>
        </w:rPr>
        <w:t>交至知远楼415</w:t>
      </w:r>
    </w:p>
    <w:p>
      <w:pPr>
        <w:widowControl/>
        <w:numPr>
          <w:ilvl w:val="0"/>
          <w:numId w:val="0"/>
        </w:numPr>
        <w:spacing w:line="360" w:lineRule="auto"/>
        <w:ind w:firstLine="640" w:firstLineChars="200"/>
        <w:jc w:val="left"/>
        <w:rPr>
          <w:rFonts w:hint="default" w:ascii="仿宋" w:hAnsi="仿宋" w:eastAsia="仿宋"/>
          <w:sz w:val="32"/>
          <w:szCs w:val="32"/>
          <w:lang w:val="en-US" w:eastAsia="zh-CN"/>
        </w:rPr>
      </w:pPr>
      <w:r>
        <w:rPr>
          <w:rFonts w:hint="eastAsia" w:ascii="仿宋" w:hAnsi="仿宋" w:eastAsia="仿宋"/>
          <w:sz w:val="32"/>
          <w:szCs w:val="32"/>
          <w:lang w:val="en-US" w:eastAsia="zh-CN"/>
        </w:rPr>
        <w:t>③滨海校区：纸质版于</w:t>
      </w:r>
      <w:r>
        <w:rPr>
          <w:rFonts w:hint="eastAsia" w:ascii="仿宋_GB2312" w:hAnsi="楷体" w:eastAsia="仿宋_GB2312" w:cs="宋体"/>
          <w:color w:val="000000"/>
          <w:kern w:val="0"/>
          <w:sz w:val="32"/>
          <w:szCs w:val="32"/>
          <w:lang w:val="en-US" w:eastAsia="zh-CN"/>
        </w:rPr>
        <w:t>2024年5月29日-2024年5月31日交至科技实验楼304-1</w:t>
      </w:r>
    </w:p>
    <w:p>
      <w:pPr>
        <w:spacing w:line="560" w:lineRule="exact"/>
        <w:ind w:firstLine="643"/>
        <w:rPr>
          <w:rFonts w:ascii="仿宋" w:hAnsi="仿宋" w:eastAsia="仿宋"/>
          <w:b/>
          <w:sz w:val="32"/>
          <w:szCs w:val="32"/>
        </w:rPr>
      </w:pPr>
      <w:bookmarkStart w:id="0" w:name="_GoBack"/>
      <w:bookmarkEnd w:id="0"/>
      <w:r>
        <w:rPr>
          <w:rFonts w:hint="eastAsia" w:ascii="仿宋" w:hAnsi="仿宋" w:eastAsia="仿宋"/>
          <w:b/>
          <w:sz w:val="32"/>
          <w:szCs w:val="32"/>
        </w:rPr>
        <w:t>（三）其他未尽事宜</w:t>
      </w:r>
    </w:p>
    <w:p>
      <w:pPr>
        <w:spacing w:line="560" w:lineRule="exact"/>
        <w:ind w:firstLine="640"/>
        <w:rPr>
          <w:rFonts w:ascii="仿宋" w:hAnsi="仿宋" w:eastAsia="仿宋"/>
          <w:sz w:val="32"/>
          <w:szCs w:val="32"/>
        </w:rPr>
      </w:pPr>
      <w:r>
        <w:rPr>
          <w:rFonts w:hint="eastAsia" w:ascii="仿宋" w:hAnsi="仿宋" w:eastAsia="仿宋"/>
          <w:sz w:val="32"/>
          <w:szCs w:val="32"/>
        </w:rPr>
        <w:t>1.知识产权</w:t>
      </w:r>
    </w:p>
    <w:p>
      <w:pPr>
        <w:spacing w:line="560" w:lineRule="exact"/>
        <w:ind w:firstLine="640"/>
        <w:rPr>
          <w:rFonts w:ascii="仿宋" w:hAnsi="仿宋" w:eastAsia="仿宋"/>
          <w:sz w:val="32"/>
          <w:szCs w:val="32"/>
        </w:rPr>
      </w:pPr>
      <w:r>
        <w:rPr>
          <w:rFonts w:hint="eastAsia" w:ascii="仿宋" w:hAnsi="仿宋" w:eastAsia="仿宋"/>
          <w:sz w:val="32"/>
          <w:szCs w:val="32"/>
        </w:rPr>
        <w:t>本项赛事严禁弄虚作假。</w:t>
      </w:r>
    </w:p>
    <w:p>
      <w:pPr>
        <w:spacing w:line="560" w:lineRule="exact"/>
        <w:ind w:firstLine="640"/>
        <w:rPr>
          <w:rFonts w:ascii="仿宋" w:hAnsi="仿宋" w:eastAsia="仿宋"/>
          <w:sz w:val="32"/>
          <w:szCs w:val="32"/>
        </w:rPr>
      </w:pPr>
      <w:r>
        <w:rPr>
          <w:rFonts w:hint="eastAsia" w:ascii="仿宋" w:hAnsi="仿宋" w:eastAsia="仿宋"/>
          <w:sz w:val="32"/>
          <w:szCs w:val="32"/>
        </w:rPr>
        <w:t>2.竞赛安全</w:t>
      </w:r>
    </w:p>
    <w:p>
      <w:pPr>
        <w:spacing w:line="560" w:lineRule="exact"/>
        <w:ind w:firstLine="640"/>
        <w:rPr>
          <w:rFonts w:ascii="仿宋" w:hAnsi="仿宋" w:eastAsia="仿宋"/>
          <w:sz w:val="32"/>
          <w:szCs w:val="32"/>
        </w:rPr>
      </w:pPr>
      <w:r>
        <w:rPr>
          <w:rFonts w:hint="eastAsia" w:ascii="仿宋" w:hAnsi="仿宋" w:eastAsia="仿宋"/>
          <w:sz w:val="32"/>
          <w:szCs w:val="32"/>
        </w:rPr>
        <w:t>本项赛事不涉及安全问题。</w:t>
      </w:r>
    </w:p>
    <w:p>
      <w:pPr>
        <w:spacing w:line="560" w:lineRule="exact"/>
        <w:ind w:firstLine="640"/>
        <w:rPr>
          <w:rFonts w:ascii="仿宋" w:hAnsi="仿宋" w:eastAsia="仿宋"/>
          <w:sz w:val="32"/>
          <w:szCs w:val="32"/>
        </w:rPr>
      </w:pPr>
      <w:r>
        <w:rPr>
          <w:rFonts w:hint="eastAsia" w:ascii="仿宋" w:hAnsi="仿宋" w:eastAsia="仿宋"/>
          <w:sz w:val="32"/>
          <w:szCs w:val="32"/>
        </w:rPr>
        <w:t>3.其他</w:t>
      </w:r>
    </w:p>
    <w:p>
      <w:pPr>
        <w:spacing w:line="560" w:lineRule="exact"/>
        <w:ind w:firstLine="0" w:firstLineChars="0"/>
        <w:rPr>
          <w:rFonts w:ascii="仿宋" w:hAnsi="仿宋" w:eastAsia="仿宋"/>
          <w:sz w:val="32"/>
          <w:szCs w:val="32"/>
        </w:rPr>
      </w:pPr>
      <w:r>
        <w:rPr>
          <w:rFonts w:hint="eastAsia" w:ascii="仿宋" w:hAnsi="仿宋" w:eastAsia="仿宋"/>
          <w:sz w:val="32"/>
          <w:szCs w:val="32"/>
        </w:rPr>
        <w:t xml:space="preserve">     其他未尽事宜由辽宁理工学院</w:t>
      </w:r>
      <w:r>
        <w:rPr>
          <w:rFonts w:hint="eastAsia" w:ascii="仿宋" w:hAnsi="仿宋" w:eastAsia="仿宋"/>
          <w:sz w:val="32"/>
          <w:szCs w:val="32"/>
          <w:lang w:val="en-US" w:eastAsia="zh-CN"/>
        </w:rPr>
        <w:t>管理工程学院</w:t>
      </w:r>
      <w:r>
        <w:rPr>
          <w:rFonts w:hint="eastAsia" w:ascii="仿宋" w:hAnsi="仿宋" w:eastAsia="仿宋"/>
          <w:sz w:val="32"/>
          <w:szCs w:val="32"/>
        </w:rPr>
        <w:t xml:space="preserve">风景园林教研室解释。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textAlignment w:val="baseline"/>
        <w:rPr>
          <w:rFonts w:hint="eastAsia" w:ascii="微软雅黑" w:hAnsi="微软雅黑" w:eastAsia="微软雅黑" w:cs="微软雅黑"/>
          <w:i w:val="0"/>
          <w:iCs w:val="0"/>
          <w:caps w:val="0"/>
          <w:color w:val="5C5C5C"/>
          <w:spacing w:val="0"/>
          <w:sz w:val="19"/>
          <w:szCs w:val="19"/>
        </w:rPr>
      </w:pPr>
      <w:r>
        <w:rPr>
          <w:rFonts w:hint="eastAsia" w:ascii="微软雅黑" w:hAnsi="微软雅黑" w:eastAsia="微软雅黑" w:cs="微软雅黑"/>
          <w:i w:val="0"/>
          <w:iCs w:val="0"/>
          <w:caps w:val="0"/>
          <w:color w:val="5C5C5C"/>
          <w:spacing w:val="0"/>
          <w:sz w:val="19"/>
          <w:szCs w:val="19"/>
          <w:vertAlign w:val="baseline"/>
        </w:rPr>
        <w:t> </w:t>
      </w:r>
    </w:p>
    <w:p>
      <w:pPr>
        <w:ind w:firstLine="560"/>
      </w:pPr>
    </w:p>
    <w:sectPr>
      <w:headerReference r:id="rId7" w:type="first"/>
      <w:footerReference r:id="rId10" w:type="first"/>
      <w:headerReference r:id="rId5" w:type="default"/>
      <w:footerReference r:id="rId8" w:type="default"/>
      <w:headerReference r:id="rId6" w:type="even"/>
      <w:footerReference r:id="rId9" w:type="even"/>
      <w:pgSz w:w="11906" w:h="16838"/>
      <w:pgMar w:top="1418" w:right="1418" w:bottom="1134" w:left="1418"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ind w:firstLine="360"/>
      <w:rPr>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BC0EE2"/>
    <w:multiLevelType w:val="singleLevel"/>
    <w:tmpl w:val="64BC0EE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FkM2Q1YWY5MDFhYWRhYmE1ZGRjOWI5NDRmMTJmNzkifQ=="/>
  </w:docVars>
  <w:rsids>
    <w:rsidRoot w:val="000D3D7C"/>
    <w:rsid w:val="000278F9"/>
    <w:rsid w:val="000D3D7C"/>
    <w:rsid w:val="000F3E9A"/>
    <w:rsid w:val="00290F0E"/>
    <w:rsid w:val="00300B06"/>
    <w:rsid w:val="003701B8"/>
    <w:rsid w:val="0043621F"/>
    <w:rsid w:val="006203C0"/>
    <w:rsid w:val="006367F0"/>
    <w:rsid w:val="00A60F3A"/>
    <w:rsid w:val="00BA10A9"/>
    <w:rsid w:val="00BD48A0"/>
    <w:rsid w:val="00C840C8"/>
    <w:rsid w:val="00D008AE"/>
    <w:rsid w:val="00D4161D"/>
    <w:rsid w:val="00E227DB"/>
    <w:rsid w:val="00F82692"/>
    <w:rsid w:val="00FC4676"/>
    <w:rsid w:val="4FBE0017"/>
    <w:rsid w:val="574306B9"/>
    <w:rsid w:val="6AD64665"/>
    <w:rsid w:val="73910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ascii="Times New Roman" w:hAnsi="Times New Roman" w:eastAsia="宋体" w:cs="Times New Roman"/>
      <w:kern w:val="2"/>
      <w:sz w:val="28"/>
      <w:szCs w:val="24"/>
      <w:lang w:val="en-US" w:eastAsia="zh-CN" w:bidi="ar-SA"/>
    </w:rPr>
  </w:style>
  <w:style w:type="character" w:default="1" w:styleId="7">
    <w:name w:val="Default Paragraph Font"/>
    <w:autoRedefine/>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13"/>
    <w:autoRedefine/>
    <w:qFormat/>
    <w:uiPriority w:val="0"/>
    <w:pPr>
      <w:ind w:firstLine="0" w:firstLineChars="0"/>
    </w:pPr>
    <w:rPr>
      <w:rFonts w:ascii="宋体" w:hAnsi="Courier New" w:cs="Courier New"/>
      <w:sz w:val="21"/>
      <w:szCs w:val="21"/>
    </w:rPr>
  </w:style>
  <w:style w:type="paragraph" w:styleId="3">
    <w:name w:val="footer"/>
    <w:basedOn w:val="1"/>
    <w:link w:val="10"/>
    <w:autoRedefine/>
    <w:unhideWhenUsed/>
    <w:qFormat/>
    <w:uiPriority w:val="99"/>
    <w:pPr>
      <w:tabs>
        <w:tab w:val="center" w:pos="4153"/>
        <w:tab w:val="right" w:pos="8306"/>
      </w:tabs>
      <w:snapToGrid w:val="0"/>
      <w:jc w:val="left"/>
    </w:pPr>
    <w:rPr>
      <w:sz w:val="18"/>
      <w:szCs w:val="18"/>
    </w:rPr>
  </w:style>
  <w:style w:type="paragraph" w:styleId="4">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FollowedHyperlink"/>
    <w:basedOn w:val="7"/>
    <w:autoRedefine/>
    <w:semiHidden/>
    <w:unhideWhenUsed/>
    <w:qFormat/>
    <w:uiPriority w:val="99"/>
    <w:rPr>
      <w:color w:val="954F72" w:themeColor="followedHyperlink"/>
      <w:u w:val="single"/>
      <w14:textFill>
        <w14:solidFill>
          <w14:schemeClr w14:val="folHlink"/>
        </w14:solidFill>
      </w14:textFill>
    </w:rPr>
  </w:style>
  <w:style w:type="character" w:styleId="9">
    <w:name w:val="Hyperlink"/>
    <w:basedOn w:val="7"/>
    <w:autoRedefine/>
    <w:unhideWhenUsed/>
    <w:qFormat/>
    <w:uiPriority w:val="99"/>
    <w:rPr>
      <w:color w:val="0563C1" w:themeColor="hyperlink"/>
      <w:u w:val="single"/>
      <w14:textFill>
        <w14:solidFill>
          <w14:schemeClr w14:val="hlink"/>
        </w14:solidFill>
      </w14:textFill>
    </w:rPr>
  </w:style>
  <w:style w:type="character" w:customStyle="1" w:styleId="10">
    <w:name w:val="页脚 字符"/>
    <w:basedOn w:val="7"/>
    <w:link w:val="3"/>
    <w:autoRedefine/>
    <w:qFormat/>
    <w:uiPriority w:val="99"/>
    <w:rPr>
      <w:rFonts w:ascii="Times New Roman" w:hAnsi="Times New Roman" w:eastAsia="宋体" w:cs="Times New Roman"/>
      <w:sz w:val="18"/>
      <w:szCs w:val="18"/>
    </w:rPr>
  </w:style>
  <w:style w:type="character" w:customStyle="1" w:styleId="11">
    <w:name w:val="页眉 字符"/>
    <w:basedOn w:val="7"/>
    <w:link w:val="4"/>
    <w:autoRedefine/>
    <w:qFormat/>
    <w:uiPriority w:val="99"/>
    <w:rPr>
      <w:rFonts w:ascii="Times New Roman" w:hAnsi="Times New Roman" w:eastAsia="宋体" w:cs="Times New Roman"/>
      <w:sz w:val="18"/>
      <w:szCs w:val="18"/>
    </w:rPr>
  </w:style>
  <w:style w:type="character" w:customStyle="1" w:styleId="12">
    <w:name w:val="Unresolved Mention"/>
    <w:basedOn w:val="7"/>
    <w:autoRedefine/>
    <w:semiHidden/>
    <w:unhideWhenUsed/>
    <w:qFormat/>
    <w:uiPriority w:val="99"/>
    <w:rPr>
      <w:color w:val="605E5C"/>
      <w:shd w:val="clear" w:color="auto" w:fill="E1DFDD"/>
    </w:rPr>
  </w:style>
  <w:style w:type="character" w:customStyle="1" w:styleId="13">
    <w:name w:val="纯文本 字符"/>
    <w:basedOn w:val="7"/>
    <w:link w:val="2"/>
    <w:autoRedefine/>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1202</Words>
  <Characters>1298</Characters>
  <Lines>10</Lines>
  <Paragraphs>2</Paragraphs>
  <TotalTime>0</TotalTime>
  <ScaleCrop>false</ScaleCrop>
  <LinksUpToDate>false</LinksUpToDate>
  <CharactersWithSpaces>1309</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2022-04-07T07:09:00Z</dcterms:created>
  <dc:creator>Yangsiying0823@outlook.com</dc:creator>
  <cp:lastModifiedBy>杨同学</cp:lastModifiedBy>
  <dcterms:modified xsi:type="dcterms:W3CDTF">2024-03-22T06:09:15Z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F39DC7EEB5744E38B664B36318F52885_13</vt:lpwstr>
  </property>
</Properties>
</file>